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ind w:left="-567"/>
        <w:jc w:val="right"/>
        <w:rPr>
          <w:rFonts w:cs="Arial"/>
          <w:color w:val="000000"/>
          <w:sz w:val="18"/>
          <w:szCs w:val="18"/>
        </w:rPr>
      </w:pPr>
    </w:p>
    <w:p>
      <w:pPr>
        <w:tabs>
          <w:tab w:val="left" w:pos="709"/>
          <w:tab w:val="left" w:pos="1418"/>
          <w:tab w:val="left" w:pos="2127"/>
          <w:tab w:val="left" w:pos="2835"/>
          <w:tab w:val="left" w:pos="3544"/>
          <w:tab w:val="left" w:pos="4254"/>
          <w:tab w:val="left" w:pos="4963"/>
          <w:tab w:val="left" w:pos="5672"/>
          <w:tab w:val="left" w:pos="6381"/>
          <w:tab w:val="left" w:pos="7089"/>
          <w:tab w:val="left" w:pos="7798"/>
        </w:tabs>
        <w:ind w:right="-711" w:hanging="709"/>
        <w:jc w:val="center"/>
        <w:rPr>
          <w:b/>
        </w:rPr>
      </w:pPr>
    </w:p>
    <w:p>
      <w:pPr>
        <w:tabs>
          <w:tab w:val="left" w:pos="709"/>
          <w:tab w:val="left" w:pos="1418"/>
          <w:tab w:val="left" w:pos="2127"/>
          <w:tab w:val="left" w:pos="2835"/>
          <w:tab w:val="left" w:pos="3544"/>
          <w:tab w:val="left" w:pos="4254"/>
          <w:tab w:val="left" w:pos="4963"/>
          <w:tab w:val="left" w:pos="5672"/>
          <w:tab w:val="left" w:pos="6381"/>
          <w:tab w:val="left" w:pos="7089"/>
          <w:tab w:val="left" w:pos="7798"/>
        </w:tabs>
        <w:jc w:val="center"/>
        <w:rPr>
          <w:b/>
          <w:sz w:val="24"/>
          <w:szCs w:val="24"/>
        </w:rPr>
      </w:pPr>
    </w:p>
    <w:p>
      <w:pPr>
        <w:tabs>
          <w:tab w:val="left" w:pos="709"/>
          <w:tab w:val="left" w:pos="1418"/>
          <w:tab w:val="left" w:pos="2127"/>
          <w:tab w:val="left" w:pos="2835"/>
          <w:tab w:val="left" w:pos="3544"/>
          <w:tab w:val="left" w:pos="4254"/>
          <w:tab w:val="left" w:pos="4963"/>
          <w:tab w:val="left" w:pos="5672"/>
          <w:tab w:val="left" w:pos="6381"/>
          <w:tab w:val="left" w:pos="7089"/>
          <w:tab w:val="left" w:pos="7798"/>
        </w:tabs>
        <w:jc w:val="center"/>
        <w:rPr>
          <w:b/>
          <w:sz w:val="24"/>
          <w:szCs w:val="24"/>
        </w:rPr>
      </w:pPr>
    </w:p>
    <w:p>
      <w:pPr>
        <w:tabs>
          <w:tab w:val="left" w:pos="709"/>
          <w:tab w:val="left" w:pos="1418"/>
          <w:tab w:val="left" w:pos="2127"/>
          <w:tab w:val="left" w:pos="2835"/>
          <w:tab w:val="left" w:pos="3544"/>
          <w:tab w:val="left" w:pos="4254"/>
          <w:tab w:val="left" w:pos="4963"/>
          <w:tab w:val="left" w:pos="5672"/>
          <w:tab w:val="left" w:pos="6381"/>
          <w:tab w:val="left" w:pos="7089"/>
          <w:tab w:val="left" w:pos="7798"/>
        </w:tabs>
        <w:jc w:val="center"/>
        <w:rPr>
          <w:b/>
          <w:sz w:val="24"/>
          <w:szCs w:val="24"/>
        </w:rPr>
      </w:pPr>
    </w:p>
    <w:p>
      <w:pPr>
        <w:widowControl w:val="0"/>
        <w:pBdr>
          <w:top w:val="single" w:sz="4" w:space="1" w:color="auto"/>
          <w:left w:val="single" w:sz="4" w:space="4" w:color="auto"/>
          <w:bottom w:val="single" w:sz="4" w:space="1" w:color="auto"/>
          <w:right w:val="single" w:sz="4" w:space="4" w:color="auto"/>
        </w:pBdr>
        <w:suppressAutoHyphens/>
        <w:spacing w:before="60" w:after="60" w:line="240" w:lineRule="atLeast"/>
        <w:jc w:val="center"/>
        <w:textAlignment w:val="center"/>
        <w:rPr>
          <w:rStyle w:val="CorpsdetexteCar"/>
          <w:rFonts w:ascii="Marianne" w:hAnsi="Marianne"/>
          <w:b/>
          <w:sz w:val="36"/>
        </w:rPr>
      </w:pPr>
      <w:r>
        <w:rPr>
          <w:rStyle w:val="CorpsdetexteCar"/>
          <w:rFonts w:ascii="Marianne" w:hAnsi="Marianne"/>
          <w:b/>
          <w:sz w:val="36"/>
        </w:rPr>
        <w:t>Label « Services Publics + » :</w:t>
      </w:r>
    </w:p>
    <w:p>
      <w:pPr>
        <w:widowControl w:val="0"/>
        <w:pBdr>
          <w:top w:val="single" w:sz="4" w:space="1" w:color="auto"/>
          <w:left w:val="single" w:sz="4" w:space="4" w:color="auto"/>
          <w:bottom w:val="single" w:sz="4" w:space="1" w:color="auto"/>
          <w:right w:val="single" w:sz="4" w:space="4" w:color="auto"/>
        </w:pBdr>
        <w:suppressAutoHyphens/>
        <w:spacing w:before="60" w:after="60" w:line="240" w:lineRule="atLeast"/>
        <w:jc w:val="center"/>
        <w:textAlignment w:val="center"/>
        <w:rPr>
          <w:rStyle w:val="CorpsdetexteCar"/>
          <w:rFonts w:ascii="Marianne" w:hAnsi="Marianne"/>
          <w:b/>
          <w:sz w:val="36"/>
        </w:rPr>
      </w:pPr>
      <w:r>
        <w:rPr>
          <w:rStyle w:val="CorpsdetexteCar"/>
          <w:rFonts w:ascii="Marianne" w:hAnsi="Marianne"/>
          <w:b/>
          <w:sz w:val="36"/>
        </w:rPr>
        <w:t xml:space="preserve">Prestations d’audit de labellisation au bénéfice de </w:t>
      </w:r>
    </w:p>
    <w:p>
      <w:pPr>
        <w:widowControl w:val="0"/>
        <w:pBdr>
          <w:top w:val="single" w:sz="4" w:space="1" w:color="auto"/>
          <w:left w:val="single" w:sz="4" w:space="4" w:color="auto"/>
          <w:bottom w:val="single" w:sz="4" w:space="1" w:color="auto"/>
          <w:right w:val="single" w:sz="4" w:space="4" w:color="auto"/>
        </w:pBdr>
        <w:suppressAutoHyphens/>
        <w:spacing w:before="60" w:after="60" w:line="240" w:lineRule="atLeast"/>
        <w:jc w:val="center"/>
        <w:textAlignment w:val="center"/>
        <w:rPr>
          <w:rStyle w:val="CorpsdetexteCar"/>
          <w:rFonts w:ascii="Marianne" w:hAnsi="Marianne"/>
          <w:b/>
          <w:i/>
          <w:sz w:val="36"/>
        </w:rPr>
      </w:pPr>
      <w:r>
        <w:rPr>
          <w:rStyle w:val="CorpsdetexteCar"/>
          <w:rFonts w:ascii="Marianne" w:hAnsi="Marianne"/>
          <w:b/>
          <w:i/>
          <w:sz w:val="36"/>
          <w:highlight w:val="yellow"/>
        </w:rPr>
        <w:t>Entité à désigner (nom du service public candidat)</w:t>
      </w:r>
      <w:r>
        <w:rPr>
          <w:rStyle w:val="CorpsdetexteCar"/>
          <w:rFonts w:ascii="Marianne" w:hAnsi="Marianne"/>
          <w:b/>
          <w:i/>
          <w:sz w:val="36"/>
        </w:rPr>
        <w:t xml:space="preserve"> </w:t>
      </w:r>
    </w:p>
    <w:p>
      <w:pPr>
        <w:widowControl w:val="0"/>
        <w:pBdr>
          <w:top w:val="single" w:sz="4" w:space="1" w:color="auto"/>
          <w:left w:val="single" w:sz="4" w:space="4" w:color="auto"/>
          <w:bottom w:val="single" w:sz="4" w:space="1" w:color="auto"/>
          <w:right w:val="single" w:sz="4" w:space="4" w:color="auto"/>
        </w:pBdr>
        <w:suppressAutoHyphens/>
        <w:spacing w:before="60" w:after="60" w:line="240" w:lineRule="atLeast"/>
        <w:jc w:val="center"/>
        <w:textAlignment w:val="center"/>
        <w:rPr>
          <w:rStyle w:val="CorpsdetexteCar"/>
          <w:rFonts w:ascii="Marianne" w:hAnsi="Marianne"/>
          <w:b/>
          <w:sz w:val="36"/>
        </w:rPr>
      </w:pPr>
      <w:r>
        <w:rPr>
          <w:rStyle w:val="CorpsdetexteCar"/>
          <w:rFonts w:ascii="Marianne" w:hAnsi="Marianne"/>
          <w:b/>
          <w:sz w:val="36"/>
          <w:highlight w:val="yellow"/>
        </w:rPr>
        <w:t>[</w:t>
      </w:r>
      <w:proofErr w:type="gramStart"/>
      <w:r>
        <w:rPr>
          <w:rStyle w:val="CorpsdetexteCar"/>
          <w:rFonts w:ascii="Marianne" w:hAnsi="Marianne"/>
          <w:b/>
          <w:sz w:val="36"/>
          <w:highlight w:val="yellow"/>
        </w:rPr>
        <w:t>et</w:t>
      </w:r>
      <w:proofErr w:type="gramEnd"/>
      <w:r>
        <w:rPr>
          <w:rStyle w:val="CorpsdetexteCar"/>
          <w:rFonts w:ascii="Marianne" w:hAnsi="Marianne"/>
          <w:b/>
          <w:sz w:val="36"/>
          <w:highlight w:val="yellow"/>
        </w:rPr>
        <w:t xml:space="preserve"> de prestation de formation d’auditeurs internes]</w:t>
      </w:r>
    </w:p>
    <w:p>
      <w:pPr>
        <w:pStyle w:val="Corpsdetexte"/>
        <w:pBdr>
          <w:top w:val="single" w:sz="4" w:space="1" w:color="auto"/>
          <w:left w:val="single" w:sz="4" w:space="4" w:color="auto"/>
          <w:bottom w:val="single" w:sz="4" w:space="1" w:color="auto"/>
          <w:right w:val="single" w:sz="4" w:space="4" w:color="auto"/>
        </w:pBdr>
        <w:jc w:val="center"/>
      </w:pPr>
      <w:r>
        <w:t xml:space="preserve">CAHIER DES CLAUSES PARTICULIERES </w:t>
      </w:r>
    </w:p>
    <w:p>
      <w:pPr>
        <w:pStyle w:val="Corpsdetexte"/>
        <w:pBdr>
          <w:top w:val="single" w:sz="4" w:space="1" w:color="auto"/>
          <w:left w:val="single" w:sz="4" w:space="4" w:color="auto"/>
          <w:bottom w:val="single" w:sz="4" w:space="1" w:color="auto"/>
          <w:right w:val="single" w:sz="4" w:space="4" w:color="auto"/>
        </w:pBdr>
        <w:jc w:val="center"/>
      </w:pPr>
    </w:p>
    <w:p>
      <w:pPr>
        <w:rPr>
          <w:rFonts w:eastAsia="Times New Roman"/>
          <w:b/>
          <w:lang w:eastAsia="fr-FR"/>
        </w:rPr>
      </w:pPr>
    </w:p>
    <w:p>
      <w:pPr>
        <w:rPr>
          <w:rStyle w:val="content-bloc"/>
        </w:rPr>
      </w:pPr>
      <w:r>
        <w:rPr>
          <w:bCs/>
        </w:rPr>
        <w:t>Procédure de passation :</w:t>
      </w:r>
      <w:r>
        <w:t xml:space="preserve"> </w:t>
      </w:r>
    </w:p>
    <w:p>
      <w:pPr>
        <w:rPr>
          <w:color w:val="000080"/>
          <w:sz w:val="28"/>
          <w:szCs w:val="28"/>
        </w:rPr>
      </w:pPr>
    </w:p>
    <w:p>
      <w:pPr>
        <w:rPr>
          <w:color w:val="000080"/>
          <w:sz w:val="28"/>
          <w:szCs w:val="28"/>
        </w:rPr>
      </w:pPr>
    </w:p>
    <w:p>
      <w:pPr>
        <w:rPr>
          <w:color w:val="000080"/>
          <w:sz w:val="28"/>
          <w:szCs w:val="28"/>
        </w:rPr>
      </w:pPr>
    </w:p>
    <w:p>
      <w:pPr>
        <w:rPr>
          <w:color w:val="000080"/>
          <w:sz w:val="28"/>
          <w:szCs w:val="28"/>
        </w:rPr>
      </w:pPr>
    </w:p>
    <w:p>
      <w:pPr>
        <w:rPr>
          <w:color w:val="000080"/>
          <w:sz w:val="28"/>
          <w:szCs w:val="28"/>
        </w:rPr>
      </w:pPr>
    </w:p>
    <w:p>
      <w:pPr>
        <w:rPr>
          <w:color w:val="000080"/>
          <w:sz w:val="28"/>
          <w:szCs w:val="28"/>
        </w:rPr>
      </w:pPr>
    </w:p>
    <w:p>
      <w:pPr>
        <w:rPr>
          <w:color w:val="000080"/>
          <w:sz w:val="28"/>
          <w:szCs w:val="28"/>
        </w:rPr>
      </w:pPr>
    </w:p>
    <w:p>
      <w:pPr>
        <w:rPr>
          <w:sz w:val="24"/>
          <w:szCs w:val="24"/>
        </w:rPr>
      </w:pPr>
      <w:r>
        <w:rPr>
          <w:iCs/>
        </w:rPr>
        <w:t xml:space="preserve">Le présent Cahier des Clauses Particulières comporte </w:t>
      </w:r>
      <w:r>
        <w:rPr>
          <w:iCs/>
          <w:highlight w:val="yellow"/>
        </w:rPr>
        <w:t>X</w:t>
      </w:r>
      <w:r>
        <w:rPr>
          <w:iCs/>
        </w:rPr>
        <w:t xml:space="preserve"> pages, numérotées de 1 à </w:t>
      </w:r>
      <w:r>
        <w:rPr>
          <w:iCs/>
          <w:highlight w:val="yellow"/>
        </w:rPr>
        <w:t>X.</w:t>
      </w:r>
      <w:r>
        <w:rPr>
          <w:sz w:val="24"/>
          <w:szCs w:val="24"/>
        </w:rPr>
        <w:br w:type="page"/>
      </w:r>
    </w:p>
    <w:p>
      <w:pPr>
        <w:pStyle w:val="TitreTR"/>
        <w:rPr>
          <w:rFonts w:ascii="Marianne" w:hAnsi="Marianne"/>
        </w:rPr>
      </w:pPr>
      <w:r>
        <w:rPr>
          <w:rFonts w:ascii="Marianne" w:hAnsi="Marianne"/>
        </w:rPr>
        <w:t>Table des matières</w:t>
      </w:r>
    </w:p>
    <w:p>
      <w:pPr>
        <w:pStyle w:val="TM1"/>
        <w:tabs>
          <w:tab w:val="left" w:pos="1320"/>
          <w:tab w:val="right" w:leader="underscore" w:pos="9062"/>
        </w:tabs>
        <w:rPr>
          <w:rFonts w:ascii="Marianne" w:hAnsi="Marianne"/>
        </w:rPr>
      </w:pPr>
    </w:p>
    <w:p>
      <w:pPr>
        <w:pStyle w:val="TM1"/>
        <w:tabs>
          <w:tab w:val="right" w:leader="dot" w:pos="9062"/>
        </w:tabs>
        <w:rPr>
          <w:rFonts w:eastAsiaTheme="minorEastAsia" w:cstheme="minorBidi"/>
          <w:b w:val="0"/>
          <w:bCs w:val="0"/>
          <w:caps w:val="0"/>
          <w:noProof/>
          <w:sz w:val="22"/>
          <w:szCs w:val="22"/>
          <w:lang w:eastAsia="fr-FR"/>
        </w:rPr>
      </w:pPr>
      <w:r>
        <w:rPr>
          <w:rFonts w:ascii="Marianne" w:hAnsi="Marianne"/>
          <w:b w:val="0"/>
          <w:bCs w:val="0"/>
          <w:iCs/>
        </w:rPr>
        <w:fldChar w:fldCharType="begin"/>
      </w:r>
      <w:r>
        <w:rPr>
          <w:rFonts w:ascii="Marianne" w:hAnsi="Marianne"/>
          <w:b w:val="0"/>
          <w:bCs w:val="0"/>
          <w:iCs/>
        </w:rPr>
        <w:instrText xml:space="preserve"> TOC \o "1-3" \h \z \u </w:instrText>
      </w:r>
      <w:r>
        <w:rPr>
          <w:rFonts w:ascii="Marianne" w:hAnsi="Marianne"/>
          <w:b w:val="0"/>
          <w:bCs w:val="0"/>
          <w:iCs/>
        </w:rPr>
        <w:fldChar w:fldCharType="separate"/>
      </w:r>
      <w:hyperlink w:anchor="_Toc171514163" w:history="1">
        <w:r>
          <w:rPr>
            <w:rStyle w:val="Lienhypertexte"/>
            <w:noProof/>
          </w:rPr>
          <w:t>Chapitre I - Préambule et contexte</w:t>
        </w:r>
        <w:r>
          <w:rPr>
            <w:noProof/>
            <w:webHidden/>
          </w:rPr>
          <w:tab/>
        </w:r>
        <w:r>
          <w:rPr>
            <w:noProof/>
            <w:webHidden/>
          </w:rPr>
          <w:fldChar w:fldCharType="begin"/>
        </w:r>
        <w:r>
          <w:rPr>
            <w:noProof/>
            <w:webHidden/>
          </w:rPr>
          <w:instrText xml:space="preserve"> PAGEREF _Toc171514163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64" w:history="1">
        <w:r>
          <w:rPr>
            <w:rStyle w:val="Lienhypertexte"/>
            <w:noProof/>
          </w:rPr>
          <w:t>Article 1 - Acheteur</w:t>
        </w:r>
        <w:r>
          <w:rPr>
            <w:noProof/>
            <w:webHidden/>
          </w:rPr>
          <w:tab/>
        </w:r>
        <w:r>
          <w:rPr>
            <w:noProof/>
            <w:webHidden/>
          </w:rPr>
          <w:fldChar w:fldCharType="begin"/>
        </w:r>
        <w:r>
          <w:rPr>
            <w:noProof/>
            <w:webHidden/>
          </w:rPr>
          <w:instrText xml:space="preserve"> PAGEREF _Toc171514164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65" w:history="1">
        <w:r>
          <w:rPr>
            <w:rStyle w:val="Lienhypertexte"/>
            <w:noProof/>
          </w:rPr>
          <w:t>Article 2 - Objet et forme du marché</w:t>
        </w:r>
        <w:r>
          <w:rPr>
            <w:noProof/>
            <w:webHidden/>
          </w:rPr>
          <w:tab/>
        </w:r>
        <w:r>
          <w:rPr>
            <w:noProof/>
            <w:webHidden/>
          </w:rPr>
          <w:fldChar w:fldCharType="begin"/>
        </w:r>
        <w:r>
          <w:rPr>
            <w:noProof/>
            <w:webHidden/>
          </w:rPr>
          <w:instrText xml:space="preserve"> PAGEREF _Toc171514165 \h </w:instrText>
        </w:r>
        <w:r>
          <w:rPr>
            <w:noProof/>
            <w:webHidden/>
          </w:rPr>
        </w:r>
        <w:r>
          <w:rPr>
            <w:noProof/>
            <w:webHidden/>
          </w:rPr>
          <w:fldChar w:fldCharType="separate"/>
        </w:r>
        <w:r>
          <w:rPr>
            <w:noProof/>
            <w:webHidden/>
          </w:rPr>
          <w:t>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66" w:history="1">
        <w:r>
          <w:rPr>
            <w:rStyle w:val="Lienhypertexte"/>
            <w:noProof/>
          </w:rPr>
          <w:t>2.1 Objet du marché</w:t>
        </w:r>
        <w:r>
          <w:rPr>
            <w:noProof/>
            <w:webHidden/>
          </w:rPr>
          <w:tab/>
        </w:r>
        <w:r>
          <w:rPr>
            <w:noProof/>
            <w:webHidden/>
          </w:rPr>
          <w:fldChar w:fldCharType="begin"/>
        </w:r>
        <w:r>
          <w:rPr>
            <w:noProof/>
            <w:webHidden/>
          </w:rPr>
          <w:instrText xml:space="preserve"> PAGEREF _Toc171514166 \h </w:instrText>
        </w:r>
        <w:r>
          <w:rPr>
            <w:noProof/>
            <w:webHidden/>
          </w:rPr>
        </w:r>
        <w:r>
          <w:rPr>
            <w:noProof/>
            <w:webHidden/>
          </w:rPr>
          <w:fldChar w:fldCharType="separate"/>
        </w:r>
        <w:r>
          <w:rPr>
            <w:noProof/>
            <w:webHidden/>
          </w:rPr>
          <w:t>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67" w:history="1">
        <w:r>
          <w:rPr>
            <w:rStyle w:val="Lienhypertexte"/>
            <w:noProof/>
          </w:rPr>
          <w:t>2.2 Procédure</w:t>
        </w:r>
        <w:r>
          <w:rPr>
            <w:noProof/>
            <w:webHidden/>
          </w:rPr>
          <w:tab/>
        </w:r>
        <w:r>
          <w:rPr>
            <w:noProof/>
            <w:webHidden/>
          </w:rPr>
          <w:fldChar w:fldCharType="begin"/>
        </w:r>
        <w:r>
          <w:rPr>
            <w:noProof/>
            <w:webHidden/>
          </w:rPr>
          <w:instrText xml:space="preserve"> PAGEREF _Toc171514167 \h </w:instrText>
        </w:r>
        <w:r>
          <w:rPr>
            <w:noProof/>
            <w:webHidden/>
          </w:rPr>
        </w:r>
        <w:r>
          <w:rPr>
            <w:noProof/>
            <w:webHidden/>
          </w:rPr>
          <w:fldChar w:fldCharType="separate"/>
        </w:r>
        <w:r>
          <w:rPr>
            <w:noProof/>
            <w:webHidden/>
          </w:rPr>
          <w:t>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68" w:history="1">
        <w:r>
          <w:rPr>
            <w:rStyle w:val="Lienhypertexte"/>
            <w:noProof/>
          </w:rPr>
          <w:t>2.3 Forme du marché</w:t>
        </w:r>
        <w:r>
          <w:rPr>
            <w:noProof/>
            <w:webHidden/>
          </w:rPr>
          <w:tab/>
        </w:r>
        <w:r>
          <w:rPr>
            <w:noProof/>
            <w:webHidden/>
          </w:rPr>
          <w:fldChar w:fldCharType="begin"/>
        </w:r>
        <w:r>
          <w:rPr>
            <w:noProof/>
            <w:webHidden/>
          </w:rPr>
          <w:instrText xml:space="preserve"> PAGEREF _Toc171514168 \h </w:instrText>
        </w:r>
        <w:r>
          <w:rPr>
            <w:noProof/>
            <w:webHidden/>
          </w:rPr>
        </w:r>
        <w:r>
          <w:rPr>
            <w:noProof/>
            <w:webHidden/>
          </w:rPr>
          <w:fldChar w:fldCharType="separate"/>
        </w:r>
        <w:r>
          <w:rPr>
            <w:noProof/>
            <w:webHidden/>
          </w:rPr>
          <w:t>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69" w:history="1">
        <w:r>
          <w:rPr>
            <w:rStyle w:val="Lienhypertexte"/>
            <w:noProof/>
          </w:rPr>
          <w:t>2.4 Allotissement</w:t>
        </w:r>
        <w:r>
          <w:rPr>
            <w:noProof/>
            <w:webHidden/>
          </w:rPr>
          <w:tab/>
        </w:r>
        <w:r>
          <w:rPr>
            <w:noProof/>
            <w:webHidden/>
          </w:rPr>
          <w:fldChar w:fldCharType="begin"/>
        </w:r>
        <w:r>
          <w:rPr>
            <w:noProof/>
            <w:webHidden/>
          </w:rPr>
          <w:instrText xml:space="preserve"> PAGEREF _Toc171514169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70" w:history="1">
        <w:r>
          <w:rPr>
            <w:rStyle w:val="Lienhypertexte"/>
            <w:noProof/>
          </w:rPr>
          <w:t>Article 3 - Durée du marché</w:t>
        </w:r>
        <w:r>
          <w:rPr>
            <w:noProof/>
            <w:webHidden/>
          </w:rPr>
          <w:tab/>
        </w:r>
        <w:r>
          <w:rPr>
            <w:noProof/>
            <w:webHidden/>
          </w:rPr>
          <w:fldChar w:fldCharType="begin"/>
        </w:r>
        <w:r>
          <w:rPr>
            <w:noProof/>
            <w:webHidden/>
          </w:rPr>
          <w:instrText xml:space="preserve"> PAGEREF _Toc171514170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71" w:history="1">
        <w:r>
          <w:rPr>
            <w:rStyle w:val="Lienhypertexte"/>
            <w:noProof/>
          </w:rPr>
          <w:t>Article 4 - Lieu d’exécution</w:t>
        </w:r>
        <w:r>
          <w:rPr>
            <w:noProof/>
            <w:webHidden/>
          </w:rPr>
          <w:tab/>
        </w:r>
        <w:r>
          <w:rPr>
            <w:noProof/>
            <w:webHidden/>
          </w:rPr>
          <w:fldChar w:fldCharType="begin"/>
        </w:r>
        <w:r>
          <w:rPr>
            <w:noProof/>
            <w:webHidden/>
          </w:rPr>
          <w:instrText xml:space="preserve"> PAGEREF _Toc171514171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72" w:history="1">
        <w:r>
          <w:rPr>
            <w:rStyle w:val="Lienhypertexte"/>
            <w:noProof/>
          </w:rPr>
          <w:t>Article 5 - Pièces contractuelles</w:t>
        </w:r>
        <w:r>
          <w:rPr>
            <w:noProof/>
            <w:webHidden/>
          </w:rPr>
          <w:tab/>
        </w:r>
        <w:r>
          <w:rPr>
            <w:noProof/>
            <w:webHidden/>
          </w:rPr>
          <w:fldChar w:fldCharType="begin"/>
        </w:r>
        <w:r>
          <w:rPr>
            <w:noProof/>
            <w:webHidden/>
          </w:rPr>
          <w:instrText xml:space="preserve"> PAGEREF _Toc171514172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73" w:history="1">
        <w:r>
          <w:rPr>
            <w:rStyle w:val="Lienhypertexte"/>
            <w:noProof/>
          </w:rPr>
          <w:t>Chapitre II – Prestations attendues</w:t>
        </w:r>
        <w:r>
          <w:rPr>
            <w:noProof/>
            <w:webHidden/>
          </w:rPr>
          <w:tab/>
        </w:r>
        <w:r>
          <w:rPr>
            <w:noProof/>
            <w:webHidden/>
          </w:rPr>
          <w:fldChar w:fldCharType="begin"/>
        </w:r>
        <w:r>
          <w:rPr>
            <w:noProof/>
            <w:webHidden/>
          </w:rPr>
          <w:instrText xml:space="preserve"> PAGEREF _Toc171514173 \h </w:instrText>
        </w:r>
        <w:r>
          <w:rPr>
            <w:noProof/>
            <w:webHidden/>
          </w:rPr>
        </w:r>
        <w:r>
          <w:rPr>
            <w:noProof/>
            <w:webHidden/>
          </w:rPr>
          <w:fldChar w:fldCharType="separate"/>
        </w:r>
        <w:r>
          <w:rPr>
            <w:noProof/>
            <w:webHidden/>
          </w:rPr>
          <w:t>7</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74" w:history="1">
        <w:r>
          <w:rPr>
            <w:rStyle w:val="Lienhypertexte"/>
            <w:noProof/>
          </w:rPr>
          <w:t>Article 6 - Prestations demandées</w:t>
        </w:r>
        <w:r>
          <w:rPr>
            <w:noProof/>
            <w:webHidden/>
          </w:rPr>
          <w:tab/>
        </w:r>
        <w:r>
          <w:rPr>
            <w:noProof/>
            <w:webHidden/>
          </w:rPr>
          <w:fldChar w:fldCharType="begin"/>
        </w:r>
        <w:r>
          <w:rPr>
            <w:noProof/>
            <w:webHidden/>
          </w:rPr>
          <w:instrText xml:space="preserve"> PAGEREF _Toc171514174 \h </w:instrText>
        </w:r>
        <w:r>
          <w:rPr>
            <w:noProof/>
            <w:webHidden/>
          </w:rPr>
        </w:r>
        <w:r>
          <w:rPr>
            <w:noProof/>
            <w:webHidden/>
          </w:rPr>
          <w:fldChar w:fldCharType="separate"/>
        </w:r>
        <w:r>
          <w:rPr>
            <w:noProof/>
            <w:webHidden/>
          </w:rPr>
          <w:t>8</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75" w:history="1">
        <w:r>
          <w:rPr>
            <w:rStyle w:val="Lienhypertexte"/>
            <w:noProof/>
          </w:rPr>
          <w:t>6.1 UO 1 – Préparation de l’audit</w:t>
        </w:r>
        <w:r>
          <w:rPr>
            <w:noProof/>
            <w:webHidden/>
          </w:rPr>
          <w:tab/>
        </w:r>
        <w:r>
          <w:rPr>
            <w:noProof/>
            <w:webHidden/>
          </w:rPr>
          <w:fldChar w:fldCharType="begin"/>
        </w:r>
        <w:r>
          <w:rPr>
            <w:noProof/>
            <w:webHidden/>
          </w:rPr>
          <w:instrText xml:space="preserve"> PAGEREF _Toc171514175 \h </w:instrText>
        </w:r>
        <w:r>
          <w:rPr>
            <w:noProof/>
            <w:webHidden/>
          </w:rPr>
        </w:r>
        <w:r>
          <w:rPr>
            <w:noProof/>
            <w:webHidden/>
          </w:rPr>
          <w:fldChar w:fldCharType="separate"/>
        </w:r>
        <w:r>
          <w:rPr>
            <w:noProof/>
            <w:webHidden/>
          </w:rPr>
          <w:t>8</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76" w:history="1">
        <w:r>
          <w:rPr>
            <w:rStyle w:val="Lienhypertexte"/>
            <w:noProof/>
          </w:rPr>
          <w:t>6.2 UO 2 – Réalisation des audits de labellisation et transmission des conclusions des audits</w:t>
        </w:r>
        <w:r>
          <w:rPr>
            <w:noProof/>
            <w:webHidden/>
          </w:rPr>
          <w:tab/>
        </w:r>
        <w:r>
          <w:rPr>
            <w:noProof/>
            <w:webHidden/>
          </w:rPr>
          <w:fldChar w:fldCharType="begin"/>
        </w:r>
        <w:r>
          <w:rPr>
            <w:noProof/>
            <w:webHidden/>
          </w:rPr>
          <w:instrText xml:space="preserve"> PAGEREF _Toc171514176 \h </w:instrText>
        </w:r>
        <w:r>
          <w:rPr>
            <w:noProof/>
            <w:webHidden/>
          </w:rPr>
        </w:r>
        <w:r>
          <w:rPr>
            <w:noProof/>
            <w:webHidden/>
          </w:rPr>
          <w:fldChar w:fldCharType="separate"/>
        </w:r>
        <w:r>
          <w:rPr>
            <w:noProof/>
            <w:webHidden/>
          </w:rPr>
          <w:t>9</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77" w:history="1">
        <w:r>
          <w:rPr>
            <w:rStyle w:val="Lienhypertexte"/>
            <w:noProof/>
          </w:rPr>
          <w:t>6.2.1 Déroulement des audits de labellisation</w:t>
        </w:r>
        <w:r>
          <w:rPr>
            <w:noProof/>
            <w:webHidden/>
          </w:rPr>
          <w:tab/>
        </w:r>
        <w:r>
          <w:rPr>
            <w:noProof/>
            <w:webHidden/>
          </w:rPr>
          <w:fldChar w:fldCharType="begin"/>
        </w:r>
        <w:r>
          <w:rPr>
            <w:noProof/>
            <w:webHidden/>
          </w:rPr>
          <w:instrText xml:space="preserve"> PAGEREF _Toc171514177 \h </w:instrText>
        </w:r>
        <w:r>
          <w:rPr>
            <w:noProof/>
            <w:webHidden/>
          </w:rPr>
        </w:r>
        <w:r>
          <w:rPr>
            <w:noProof/>
            <w:webHidden/>
          </w:rPr>
          <w:fldChar w:fldCharType="separate"/>
        </w:r>
        <w:r>
          <w:rPr>
            <w:noProof/>
            <w:webHidden/>
          </w:rPr>
          <w:t>9</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78" w:history="1">
        <w:r>
          <w:rPr>
            <w:rStyle w:val="Lienhypertexte"/>
            <w:noProof/>
          </w:rPr>
          <w:t>6.2.2 Décision du titulaire</w:t>
        </w:r>
        <w:r>
          <w:rPr>
            <w:noProof/>
            <w:webHidden/>
          </w:rPr>
          <w:tab/>
        </w:r>
        <w:r>
          <w:rPr>
            <w:noProof/>
            <w:webHidden/>
          </w:rPr>
          <w:fldChar w:fldCharType="begin"/>
        </w:r>
        <w:r>
          <w:rPr>
            <w:noProof/>
            <w:webHidden/>
          </w:rPr>
          <w:instrText xml:space="preserve"> PAGEREF _Toc171514178 \h </w:instrText>
        </w:r>
        <w:r>
          <w:rPr>
            <w:noProof/>
            <w:webHidden/>
          </w:rPr>
        </w:r>
        <w:r>
          <w:rPr>
            <w:noProof/>
            <w:webHidden/>
          </w:rPr>
          <w:fldChar w:fldCharType="separate"/>
        </w:r>
        <w:r>
          <w:rPr>
            <w:noProof/>
            <w:webHidden/>
          </w:rPr>
          <w:t>11</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79" w:history="1">
        <w:r>
          <w:rPr>
            <w:rStyle w:val="Lienhypertexte"/>
            <w:noProof/>
          </w:rPr>
          <w:t>6.3 UO 4 - PRESTATION OPTIONNELLE : FORMATION DES AUDITEURS INTERNES</w:t>
        </w:r>
        <w:r>
          <w:rPr>
            <w:noProof/>
            <w:webHidden/>
          </w:rPr>
          <w:tab/>
        </w:r>
        <w:r>
          <w:rPr>
            <w:noProof/>
            <w:webHidden/>
          </w:rPr>
          <w:fldChar w:fldCharType="begin"/>
        </w:r>
        <w:r>
          <w:rPr>
            <w:noProof/>
            <w:webHidden/>
          </w:rPr>
          <w:instrText xml:space="preserve"> PAGEREF _Toc171514179 \h </w:instrText>
        </w:r>
        <w:r>
          <w:rPr>
            <w:noProof/>
            <w:webHidden/>
          </w:rPr>
        </w:r>
        <w:r>
          <w:rPr>
            <w:noProof/>
            <w:webHidden/>
          </w:rPr>
          <w:fldChar w:fldCharType="separate"/>
        </w:r>
        <w:r>
          <w:rPr>
            <w:noProof/>
            <w:webHidden/>
          </w:rPr>
          <w:t>11</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80" w:history="1">
        <w:r>
          <w:rPr>
            <w:rStyle w:val="Lienhypertexte"/>
            <w:noProof/>
          </w:rPr>
          <w:t>6.4 UO Annexes - Frais de déplacement</w:t>
        </w:r>
        <w:r>
          <w:rPr>
            <w:noProof/>
            <w:webHidden/>
          </w:rPr>
          <w:tab/>
        </w:r>
        <w:r>
          <w:rPr>
            <w:noProof/>
            <w:webHidden/>
          </w:rPr>
          <w:fldChar w:fldCharType="begin"/>
        </w:r>
        <w:r>
          <w:rPr>
            <w:noProof/>
            <w:webHidden/>
          </w:rPr>
          <w:instrText xml:space="preserve"> PAGEREF _Toc171514180 \h </w:instrText>
        </w:r>
        <w:r>
          <w:rPr>
            <w:noProof/>
            <w:webHidden/>
          </w:rPr>
        </w:r>
        <w:r>
          <w:rPr>
            <w:noProof/>
            <w:webHidden/>
          </w:rPr>
          <w:fldChar w:fldCharType="separate"/>
        </w:r>
        <w:r>
          <w:rPr>
            <w:noProof/>
            <w:webHidden/>
          </w:rPr>
          <w:t>12</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81" w:history="1">
        <w:r>
          <w:rPr>
            <w:rStyle w:val="Lienhypertexte"/>
            <w:rFonts w:eastAsia="Times New Roman"/>
            <w:noProof/>
            <w:lang w:eastAsia="ja-JP"/>
          </w:rPr>
          <w:t xml:space="preserve">UO annexe-1 </w:t>
        </w:r>
        <w:r>
          <w:rPr>
            <w:rStyle w:val="Lienhypertexte"/>
            <w:rFonts w:eastAsia="Times New Roman"/>
            <w:b/>
            <w:bCs/>
            <w:noProof/>
            <w:lang w:eastAsia="ja-JP"/>
          </w:rPr>
          <w:t>Frais de déplacement survenant en dehors de la région de résidence</w:t>
        </w:r>
        <w:r>
          <w:rPr>
            <w:noProof/>
            <w:webHidden/>
          </w:rPr>
          <w:tab/>
        </w:r>
        <w:r>
          <w:rPr>
            <w:noProof/>
            <w:webHidden/>
          </w:rPr>
          <w:fldChar w:fldCharType="begin"/>
        </w:r>
        <w:r>
          <w:rPr>
            <w:noProof/>
            <w:webHidden/>
          </w:rPr>
          <w:instrText xml:space="preserve"> PAGEREF _Toc171514181 \h </w:instrText>
        </w:r>
        <w:r>
          <w:rPr>
            <w:noProof/>
            <w:webHidden/>
          </w:rPr>
        </w:r>
        <w:r>
          <w:rPr>
            <w:noProof/>
            <w:webHidden/>
          </w:rPr>
          <w:fldChar w:fldCharType="separate"/>
        </w:r>
        <w:r>
          <w:rPr>
            <w:noProof/>
            <w:webHidden/>
          </w:rPr>
          <w:t>12</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82" w:history="1">
        <w:r>
          <w:rPr>
            <w:rStyle w:val="Lienhypertexte"/>
            <w:rFonts w:eastAsia="Times New Roman"/>
            <w:noProof/>
            <w:lang w:eastAsia="ja-JP"/>
          </w:rPr>
          <w:t xml:space="preserve">UO annexe-2 </w:t>
        </w:r>
        <w:r>
          <w:rPr>
            <w:rStyle w:val="Lienhypertexte"/>
            <w:rFonts w:eastAsia="Times New Roman"/>
            <w:b/>
            <w:bCs/>
            <w:noProof/>
            <w:lang w:eastAsia="ja-JP"/>
          </w:rPr>
          <w:t>frais de déplacement survenant en dehors de la métropole</w:t>
        </w:r>
        <w:r>
          <w:rPr>
            <w:noProof/>
            <w:webHidden/>
          </w:rPr>
          <w:tab/>
        </w:r>
        <w:r>
          <w:rPr>
            <w:noProof/>
            <w:webHidden/>
          </w:rPr>
          <w:fldChar w:fldCharType="begin"/>
        </w:r>
        <w:r>
          <w:rPr>
            <w:noProof/>
            <w:webHidden/>
          </w:rPr>
          <w:instrText xml:space="preserve"> PAGEREF _Toc171514182 \h </w:instrText>
        </w:r>
        <w:r>
          <w:rPr>
            <w:noProof/>
            <w:webHidden/>
          </w:rPr>
        </w:r>
        <w:r>
          <w:rPr>
            <w:noProof/>
            <w:webHidden/>
          </w:rPr>
          <w:fldChar w:fldCharType="separate"/>
        </w:r>
        <w:r>
          <w:rPr>
            <w:noProof/>
            <w:webHidden/>
          </w:rPr>
          <w:t>12</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83" w:history="1">
        <w:r>
          <w:rPr>
            <w:rStyle w:val="Lienhypertexte"/>
            <w:noProof/>
          </w:rPr>
          <w:t>Article 7 - Clause environnementale</w:t>
        </w:r>
        <w:r>
          <w:rPr>
            <w:noProof/>
            <w:webHidden/>
          </w:rPr>
          <w:tab/>
        </w:r>
        <w:r>
          <w:rPr>
            <w:noProof/>
            <w:webHidden/>
          </w:rPr>
          <w:fldChar w:fldCharType="begin"/>
        </w:r>
        <w:r>
          <w:rPr>
            <w:noProof/>
            <w:webHidden/>
          </w:rPr>
          <w:instrText xml:space="preserve"> PAGEREF _Toc171514183 \h </w:instrText>
        </w:r>
        <w:r>
          <w:rPr>
            <w:noProof/>
            <w:webHidden/>
          </w:rPr>
        </w:r>
        <w:r>
          <w:rPr>
            <w:noProof/>
            <w:webHidden/>
          </w:rPr>
          <w:fldChar w:fldCharType="separate"/>
        </w:r>
        <w:r>
          <w:rPr>
            <w:noProof/>
            <w:webHidden/>
          </w:rPr>
          <w:t>13</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84" w:history="1">
        <w:r>
          <w:rPr>
            <w:rStyle w:val="Lienhypertexte"/>
            <w:noProof/>
          </w:rPr>
          <w:t>Article 8 - Qualité des documents</w:t>
        </w:r>
        <w:r>
          <w:rPr>
            <w:noProof/>
            <w:webHidden/>
          </w:rPr>
          <w:tab/>
        </w:r>
        <w:r>
          <w:rPr>
            <w:noProof/>
            <w:webHidden/>
          </w:rPr>
          <w:fldChar w:fldCharType="begin"/>
        </w:r>
        <w:r>
          <w:rPr>
            <w:noProof/>
            <w:webHidden/>
          </w:rPr>
          <w:instrText xml:space="preserve"> PAGEREF _Toc171514184 \h </w:instrText>
        </w:r>
        <w:r>
          <w:rPr>
            <w:noProof/>
            <w:webHidden/>
          </w:rPr>
        </w:r>
        <w:r>
          <w:rPr>
            <w:noProof/>
            <w:webHidden/>
          </w:rPr>
          <w:fldChar w:fldCharType="separate"/>
        </w:r>
        <w:r>
          <w:rPr>
            <w:noProof/>
            <w:webHidden/>
          </w:rPr>
          <w:t>13</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85" w:history="1">
        <w:r>
          <w:rPr>
            <w:rStyle w:val="Lienhypertexte"/>
            <w:noProof/>
          </w:rPr>
          <w:t>Chapitre III – Clauses administratives</w:t>
        </w:r>
        <w:r>
          <w:rPr>
            <w:noProof/>
            <w:webHidden/>
          </w:rPr>
          <w:tab/>
        </w:r>
        <w:r>
          <w:rPr>
            <w:noProof/>
            <w:webHidden/>
          </w:rPr>
          <w:fldChar w:fldCharType="begin"/>
        </w:r>
        <w:r>
          <w:rPr>
            <w:noProof/>
            <w:webHidden/>
          </w:rPr>
          <w:instrText xml:space="preserve"> PAGEREF _Toc171514185 \h </w:instrText>
        </w:r>
        <w:r>
          <w:rPr>
            <w:noProof/>
            <w:webHidden/>
          </w:rPr>
        </w:r>
        <w:r>
          <w:rPr>
            <w:noProof/>
            <w:webHidden/>
          </w:rPr>
          <w:fldChar w:fldCharType="separate"/>
        </w:r>
        <w:r>
          <w:rPr>
            <w:noProof/>
            <w:webHidden/>
          </w:rPr>
          <w:t>14</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186" w:history="1">
        <w:r>
          <w:rPr>
            <w:rStyle w:val="Lienhypertexte"/>
            <w:noProof/>
          </w:rPr>
          <w:t>Article 9 - MODALITES D'EXECUTION DES PRESTATIONS</w:t>
        </w:r>
        <w:r>
          <w:rPr>
            <w:noProof/>
            <w:webHidden/>
          </w:rPr>
          <w:tab/>
        </w:r>
        <w:r>
          <w:rPr>
            <w:noProof/>
            <w:webHidden/>
          </w:rPr>
          <w:fldChar w:fldCharType="begin"/>
        </w:r>
        <w:r>
          <w:rPr>
            <w:noProof/>
            <w:webHidden/>
          </w:rPr>
          <w:instrText xml:space="preserve"> PAGEREF _Toc171514186 \h </w:instrText>
        </w:r>
        <w:r>
          <w:rPr>
            <w:noProof/>
            <w:webHidden/>
          </w:rPr>
        </w:r>
        <w:r>
          <w:rPr>
            <w:noProof/>
            <w:webHidden/>
          </w:rPr>
          <w:fldChar w:fldCharType="separate"/>
        </w:r>
        <w:r>
          <w:rPr>
            <w:noProof/>
            <w:webHidden/>
          </w:rPr>
          <w:t>14</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87" w:history="1">
        <w:r>
          <w:rPr>
            <w:rStyle w:val="Lienhypertexte"/>
            <w:noProof/>
          </w:rPr>
          <w:t>9.1 Représentation des parties</w:t>
        </w:r>
        <w:r>
          <w:rPr>
            <w:noProof/>
            <w:webHidden/>
          </w:rPr>
          <w:tab/>
        </w:r>
        <w:r>
          <w:rPr>
            <w:noProof/>
            <w:webHidden/>
          </w:rPr>
          <w:fldChar w:fldCharType="begin"/>
        </w:r>
        <w:r>
          <w:rPr>
            <w:noProof/>
            <w:webHidden/>
          </w:rPr>
          <w:instrText xml:space="preserve"> PAGEREF _Toc171514187 \h </w:instrText>
        </w:r>
        <w:r>
          <w:rPr>
            <w:noProof/>
            <w:webHidden/>
          </w:rPr>
        </w:r>
        <w:r>
          <w:rPr>
            <w:noProof/>
            <w:webHidden/>
          </w:rPr>
          <w:fldChar w:fldCharType="separate"/>
        </w:r>
        <w:r>
          <w:rPr>
            <w:noProof/>
            <w:webHidden/>
          </w:rPr>
          <w:t>14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88" w:history="1">
        <w:r>
          <w:rPr>
            <w:rStyle w:val="Lienhypertexte"/>
            <w:noProof/>
            <w:lang w:eastAsia="ja-JP"/>
          </w:rPr>
          <w:t>9.1.1 Représentation de l'administration</w:t>
        </w:r>
        <w:r>
          <w:rPr>
            <w:noProof/>
            <w:webHidden/>
          </w:rPr>
          <w:tab/>
        </w:r>
        <w:r>
          <w:rPr>
            <w:noProof/>
            <w:webHidden/>
          </w:rPr>
          <w:fldChar w:fldCharType="begin"/>
        </w:r>
        <w:r>
          <w:rPr>
            <w:noProof/>
            <w:webHidden/>
          </w:rPr>
          <w:instrText xml:space="preserve"> PAGEREF _Toc171514188 \h </w:instrText>
        </w:r>
        <w:r>
          <w:rPr>
            <w:noProof/>
            <w:webHidden/>
          </w:rPr>
        </w:r>
        <w:r>
          <w:rPr>
            <w:noProof/>
            <w:webHidden/>
          </w:rPr>
          <w:fldChar w:fldCharType="separate"/>
        </w:r>
        <w:r>
          <w:rPr>
            <w:noProof/>
            <w:webHidden/>
          </w:rPr>
          <w:t>14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89" w:history="1">
        <w:r>
          <w:rPr>
            <w:rStyle w:val="Lienhypertexte"/>
            <w:noProof/>
            <w:lang w:eastAsia="ja-JP"/>
          </w:rPr>
          <w:t>9.1.2 Représentation du titulaire</w:t>
        </w:r>
        <w:r>
          <w:rPr>
            <w:noProof/>
            <w:webHidden/>
          </w:rPr>
          <w:tab/>
        </w:r>
        <w:r>
          <w:rPr>
            <w:noProof/>
            <w:webHidden/>
          </w:rPr>
          <w:fldChar w:fldCharType="begin"/>
        </w:r>
        <w:r>
          <w:rPr>
            <w:noProof/>
            <w:webHidden/>
          </w:rPr>
          <w:instrText xml:space="preserve"> PAGEREF _Toc171514189 \h </w:instrText>
        </w:r>
        <w:r>
          <w:rPr>
            <w:noProof/>
            <w:webHidden/>
          </w:rPr>
        </w:r>
        <w:r>
          <w:rPr>
            <w:noProof/>
            <w:webHidden/>
          </w:rPr>
          <w:fldChar w:fldCharType="separate"/>
        </w:r>
        <w:r>
          <w:rPr>
            <w:noProof/>
            <w:webHidden/>
          </w:rPr>
          <w:t>14</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90" w:history="1">
        <w:r>
          <w:rPr>
            <w:rStyle w:val="Lienhypertexte"/>
            <w:noProof/>
          </w:rPr>
          <w:t>9.2 Conditions d'exécution</w:t>
        </w:r>
        <w:r>
          <w:rPr>
            <w:noProof/>
            <w:webHidden/>
          </w:rPr>
          <w:tab/>
        </w:r>
        <w:r>
          <w:rPr>
            <w:noProof/>
            <w:webHidden/>
          </w:rPr>
          <w:fldChar w:fldCharType="begin"/>
        </w:r>
        <w:r>
          <w:rPr>
            <w:noProof/>
            <w:webHidden/>
          </w:rPr>
          <w:instrText xml:space="preserve"> PAGEREF _Toc171514190 \h </w:instrText>
        </w:r>
        <w:r>
          <w:rPr>
            <w:noProof/>
            <w:webHidden/>
          </w:rPr>
        </w:r>
        <w:r>
          <w:rPr>
            <w:noProof/>
            <w:webHidden/>
          </w:rPr>
          <w:fldChar w:fldCharType="separate"/>
        </w:r>
        <w:r>
          <w:rPr>
            <w:noProof/>
            <w:webHidden/>
          </w:rPr>
          <w:t>14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1" w:history="1">
        <w:r>
          <w:rPr>
            <w:rStyle w:val="Lienhypertexte"/>
            <w:noProof/>
            <w:lang w:eastAsia="ja-JP"/>
          </w:rPr>
          <w:t>9.2.1 Mise en place de l'équipe technique</w:t>
        </w:r>
        <w:r>
          <w:rPr>
            <w:noProof/>
            <w:webHidden/>
          </w:rPr>
          <w:tab/>
        </w:r>
        <w:r>
          <w:rPr>
            <w:noProof/>
            <w:webHidden/>
          </w:rPr>
          <w:fldChar w:fldCharType="begin"/>
        </w:r>
        <w:r>
          <w:rPr>
            <w:noProof/>
            <w:webHidden/>
          </w:rPr>
          <w:instrText xml:space="preserve"> PAGEREF _Toc171514191 \h </w:instrText>
        </w:r>
        <w:r>
          <w:rPr>
            <w:noProof/>
            <w:webHidden/>
          </w:rPr>
        </w:r>
        <w:r>
          <w:rPr>
            <w:noProof/>
            <w:webHidden/>
          </w:rPr>
          <w:fldChar w:fldCharType="separate"/>
        </w:r>
        <w:r>
          <w:rPr>
            <w:noProof/>
            <w:webHidden/>
          </w:rPr>
          <w:t>14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2" w:history="1">
        <w:r>
          <w:rPr>
            <w:rStyle w:val="Lienhypertexte"/>
            <w:noProof/>
            <w:lang w:eastAsia="ja-JP"/>
          </w:rPr>
          <w:t>9.2.2 Identification du titulaire</w:t>
        </w:r>
        <w:r>
          <w:rPr>
            <w:noProof/>
            <w:webHidden/>
          </w:rPr>
          <w:tab/>
        </w:r>
        <w:r>
          <w:rPr>
            <w:noProof/>
            <w:webHidden/>
          </w:rPr>
          <w:fldChar w:fldCharType="begin"/>
        </w:r>
        <w:r>
          <w:rPr>
            <w:noProof/>
            <w:webHidden/>
          </w:rPr>
          <w:instrText xml:space="preserve"> PAGEREF _Toc171514192 \h </w:instrText>
        </w:r>
        <w:r>
          <w:rPr>
            <w:noProof/>
            <w:webHidden/>
          </w:rPr>
        </w:r>
        <w:r>
          <w:rPr>
            <w:noProof/>
            <w:webHidden/>
          </w:rPr>
          <w:fldChar w:fldCharType="separate"/>
        </w:r>
        <w:r>
          <w:rPr>
            <w:noProof/>
            <w:webHidden/>
          </w:rPr>
          <w:t>14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3" w:history="1">
        <w:r>
          <w:rPr>
            <w:rStyle w:val="Lienhypertexte"/>
            <w:noProof/>
            <w:lang w:eastAsia="ja-JP"/>
          </w:rPr>
          <w:t>9.2.3 Remplacement des intervenants</w:t>
        </w:r>
        <w:r>
          <w:rPr>
            <w:noProof/>
            <w:webHidden/>
          </w:rPr>
          <w:tab/>
        </w:r>
        <w:r>
          <w:rPr>
            <w:noProof/>
            <w:webHidden/>
          </w:rPr>
          <w:fldChar w:fldCharType="begin"/>
        </w:r>
        <w:r>
          <w:rPr>
            <w:noProof/>
            <w:webHidden/>
          </w:rPr>
          <w:instrText xml:space="preserve"> PAGEREF _Toc171514193 \h </w:instrText>
        </w:r>
        <w:r>
          <w:rPr>
            <w:noProof/>
            <w:webHidden/>
          </w:rPr>
        </w:r>
        <w:r>
          <w:rPr>
            <w:noProof/>
            <w:webHidden/>
          </w:rPr>
          <w:fldChar w:fldCharType="separate"/>
        </w:r>
        <w:r>
          <w:rPr>
            <w:noProof/>
            <w:webHidden/>
          </w:rPr>
          <w:t>15</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4" w:history="1">
        <w:r>
          <w:rPr>
            <w:rStyle w:val="Lienhypertexte"/>
            <w:noProof/>
            <w:lang w:eastAsia="ja-JP"/>
          </w:rPr>
          <w:t>9.2.4 Exigences relatives aux prestations</w:t>
        </w:r>
        <w:r>
          <w:rPr>
            <w:noProof/>
            <w:webHidden/>
          </w:rPr>
          <w:tab/>
        </w:r>
        <w:r>
          <w:rPr>
            <w:noProof/>
            <w:webHidden/>
          </w:rPr>
          <w:fldChar w:fldCharType="begin"/>
        </w:r>
        <w:r>
          <w:rPr>
            <w:noProof/>
            <w:webHidden/>
          </w:rPr>
          <w:instrText xml:space="preserve"> PAGEREF _Toc171514194 \h </w:instrText>
        </w:r>
        <w:r>
          <w:rPr>
            <w:noProof/>
            <w:webHidden/>
          </w:rPr>
        </w:r>
        <w:r>
          <w:rPr>
            <w:noProof/>
            <w:webHidden/>
          </w:rPr>
          <w:fldChar w:fldCharType="separate"/>
        </w:r>
        <w:r>
          <w:rPr>
            <w:noProof/>
            <w:webHidden/>
          </w:rPr>
          <w:t>15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195" w:history="1">
        <w:r>
          <w:rPr>
            <w:rStyle w:val="Lienhypertexte"/>
            <w:noProof/>
          </w:rPr>
          <w:t>9.3 Obligations du titulaire</w:t>
        </w:r>
        <w:r>
          <w:rPr>
            <w:noProof/>
            <w:webHidden/>
          </w:rPr>
          <w:tab/>
        </w:r>
        <w:r>
          <w:rPr>
            <w:noProof/>
            <w:webHidden/>
          </w:rPr>
          <w:fldChar w:fldCharType="begin"/>
        </w:r>
        <w:r>
          <w:rPr>
            <w:noProof/>
            <w:webHidden/>
          </w:rPr>
          <w:instrText xml:space="preserve"> PAGEREF _Toc171514195 \h </w:instrText>
        </w:r>
        <w:r>
          <w:rPr>
            <w:noProof/>
            <w:webHidden/>
          </w:rPr>
        </w:r>
        <w:r>
          <w:rPr>
            <w:noProof/>
            <w:webHidden/>
          </w:rPr>
          <w:fldChar w:fldCharType="separate"/>
        </w:r>
        <w:r>
          <w:rPr>
            <w:noProof/>
            <w:webHidden/>
          </w:rPr>
          <w:t>16</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6" w:history="1">
        <w:r>
          <w:rPr>
            <w:rStyle w:val="Lienhypertexte"/>
            <w:noProof/>
            <w:lang w:eastAsia="ja-JP"/>
          </w:rPr>
          <w:t>9.3.1 Obligation de conseil et d'information</w:t>
        </w:r>
        <w:r>
          <w:rPr>
            <w:noProof/>
            <w:webHidden/>
          </w:rPr>
          <w:tab/>
        </w:r>
        <w:r>
          <w:rPr>
            <w:noProof/>
            <w:webHidden/>
          </w:rPr>
          <w:fldChar w:fldCharType="begin"/>
        </w:r>
        <w:r>
          <w:rPr>
            <w:noProof/>
            <w:webHidden/>
          </w:rPr>
          <w:instrText xml:space="preserve"> PAGEREF _Toc171514196 \h </w:instrText>
        </w:r>
        <w:r>
          <w:rPr>
            <w:noProof/>
            <w:webHidden/>
          </w:rPr>
        </w:r>
        <w:r>
          <w:rPr>
            <w:noProof/>
            <w:webHidden/>
          </w:rPr>
          <w:fldChar w:fldCharType="separate"/>
        </w:r>
        <w:r>
          <w:rPr>
            <w:noProof/>
            <w:webHidden/>
          </w:rPr>
          <w:t>16</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7" w:history="1">
        <w:r>
          <w:rPr>
            <w:rStyle w:val="Lienhypertexte"/>
            <w:noProof/>
            <w:lang w:eastAsia="ja-JP"/>
          </w:rPr>
          <w:t>9.3.2 Obligation de confidentialité et secret des affaires</w:t>
        </w:r>
        <w:r>
          <w:rPr>
            <w:noProof/>
            <w:webHidden/>
          </w:rPr>
          <w:tab/>
        </w:r>
        <w:r>
          <w:rPr>
            <w:noProof/>
            <w:webHidden/>
          </w:rPr>
          <w:fldChar w:fldCharType="begin"/>
        </w:r>
        <w:r>
          <w:rPr>
            <w:noProof/>
            <w:webHidden/>
          </w:rPr>
          <w:instrText xml:space="preserve"> PAGEREF _Toc171514197 \h </w:instrText>
        </w:r>
        <w:r>
          <w:rPr>
            <w:noProof/>
            <w:webHidden/>
          </w:rPr>
        </w:r>
        <w:r>
          <w:rPr>
            <w:noProof/>
            <w:webHidden/>
          </w:rPr>
          <w:fldChar w:fldCharType="separate"/>
        </w:r>
        <w:r>
          <w:rPr>
            <w:noProof/>
            <w:webHidden/>
          </w:rPr>
          <w:t>16</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8" w:history="1">
        <w:r>
          <w:rPr>
            <w:rStyle w:val="Lienhypertexte"/>
            <w:noProof/>
            <w:lang w:eastAsia="ja-JP"/>
          </w:rPr>
          <w:t>9.3.3 Mesures de sécurité, dont sécurité informatique et gestion des données</w:t>
        </w:r>
        <w:r>
          <w:rPr>
            <w:noProof/>
            <w:webHidden/>
          </w:rPr>
          <w:tab/>
        </w:r>
        <w:r>
          <w:rPr>
            <w:noProof/>
            <w:webHidden/>
          </w:rPr>
          <w:fldChar w:fldCharType="begin"/>
        </w:r>
        <w:r>
          <w:rPr>
            <w:noProof/>
            <w:webHidden/>
          </w:rPr>
          <w:instrText xml:space="preserve"> PAGEREF _Toc171514198 \h </w:instrText>
        </w:r>
        <w:r>
          <w:rPr>
            <w:noProof/>
            <w:webHidden/>
          </w:rPr>
        </w:r>
        <w:r>
          <w:rPr>
            <w:noProof/>
            <w:webHidden/>
          </w:rPr>
          <w:fldChar w:fldCharType="separate"/>
        </w:r>
        <w:r>
          <w:rPr>
            <w:noProof/>
            <w:webHidden/>
          </w:rPr>
          <w:t>17</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199" w:history="1">
        <w:r>
          <w:rPr>
            <w:rStyle w:val="Lienhypertexte"/>
            <w:noProof/>
            <w:lang w:eastAsia="ja-JP"/>
          </w:rPr>
          <w:t>9.3.4 Utilisation de la charte graphique</w:t>
        </w:r>
        <w:r>
          <w:rPr>
            <w:noProof/>
            <w:webHidden/>
          </w:rPr>
          <w:tab/>
        </w:r>
        <w:r>
          <w:rPr>
            <w:noProof/>
            <w:webHidden/>
          </w:rPr>
          <w:fldChar w:fldCharType="begin"/>
        </w:r>
        <w:r>
          <w:rPr>
            <w:noProof/>
            <w:webHidden/>
          </w:rPr>
          <w:instrText xml:space="preserve"> PAGEREF _Toc171514199 \h </w:instrText>
        </w:r>
        <w:r>
          <w:rPr>
            <w:noProof/>
            <w:webHidden/>
          </w:rPr>
        </w:r>
        <w:r>
          <w:rPr>
            <w:noProof/>
            <w:webHidden/>
          </w:rPr>
          <w:fldChar w:fldCharType="separate"/>
        </w:r>
        <w:r>
          <w:rPr>
            <w:noProof/>
            <w:webHidden/>
          </w:rPr>
          <w:t>20</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0" w:history="1">
        <w:r>
          <w:rPr>
            <w:rStyle w:val="Lienhypertexte"/>
            <w:noProof/>
            <w:lang w:eastAsia="ja-JP"/>
          </w:rPr>
          <w:t>9.3.5 Obligation de respect déontologique</w:t>
        </w:r>
        <w:r>
          <w:rPr>
            <w:noProof/>
            <w:webHidden/>
          </w:rPr>
          <w:tab/>
        </w:r>
        <w:r>
          <w:rPr>
            <w:noProof/>
            <w:webHidden/>
          </w:rPr>
          <w:fldChar w:fldCharType="begin"/>
        </w:r>
        <w:r>
          <w:rPr>
            <w:noProof/>
            <w:webHidden/>
          </w:rPr>
          <w:instrText xml:space="preserve"> PAGEREF _Toc171514200 \h </w:instrText>
        </w:r>
        <w:r>
          <w:rPr>
            <w:noProof/>
            <w:webHidden/>
          </w:rPr>
        </w:r>
        <w:r>
          <w:rPr>
            <w:noProof/>
            <w:webHidden/>
          </w:rPr>
          <w:fldChar w:fldCharType="separate"/>
        </w:r>
        <w:r>
          <w:rPr>
            <w:noProof/>
            <w:webHidden/>
          </w:rPr>
          <w:t>20</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1" w:history="1">
        <w:r>
          <w:rPr>
            <w:rStyle w:val="Lienhypertexte"/>
            <w:noProof/>
            <w:lang w:eastAsia="ja-JP"/>
          </w:rPr>
          <w:t>9.3.6 Responsabilité du titulaire</w:t>
        </w:r>
        <w:r>
          <w:rPr>
            <w:noProof/>
            <w:webHidden/>
          </w:rPr>
          <w:tab/>
        </w:r>
        <w:r>
          <w:rPr>
            <w:noProof/>
            <w:webHidden/>
          </w:rPr>
          <w:fldChar w:fldCharType="begin"/>
        </w:r>
        <w:r>
          <w:rPr>
            <w:noProof/>
            <w:webHidden/>
          </w:rPr>
          <w:instrText xml:space="preserve"> PAGEREF _Toc171514201 \h </w:instrText>
        </w:r>
        <w:r>
          <w:rPr>
            <w:noProof/>
            <w:webHidden/>
          </w:rPr>
        </w:r>
        <w:r>
          <w:rPr>
            <w:noProof/>
            <w:webHidden/>
          </w:rPr>
          <w:fldChar w:fldCharType="separate"/>
        </w:r>
        <w:r>
          <w:rPr>
            <w:noProof/>
            <w:webHidden/>
          </w:rPr>
          <w:t>21</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2" w:history="1">
        <w:r>
          <w:rPr>
            <w:rStyle w:val="Lienhypertexte"/>
            <w:noProof/>
            <w:lang w:eastAsia="ja-JP"/>
          </w:rPr>
          <w:t>9.3.7 Langue utilisée</w:t>
        </w:r>
        <w:r>
          <w:rPr>
            <w:noProof/>
            <w:webHidden/>
          </w:rPr>
          <w:tab/>
        </w:r>
        <w:r>
          <w:rPr>
            <w:noProof/>
            <w:webHidden/>
          </w:rPr>
          <w:fldChar w:fldCharType="begin"/>
        </w:r>
        <w:r>
          <w:rPr>
            <w:noProof/>
            <w:webHidden/>
          </w:rPr>
          <w:instrText xml:space="preserve"> PAGEREF _Toc171514202 \h </w:instrText>
        </w:r>
        <w:r>
          <w:rPr>
            <w:noProof/>
            <w:webHidden/>
          </w:rPr>
        </w:r>
        <w:r>
          <w:rPr>
            <w:noProof/>
            <w:webHidden/>
          </w:rPr>
          <w:fldChar w:fldCharType="separate"/>
        </w:r>
        <w:r>
          <w:rPr>
            <w:noProof/>
            <w:webHidden/>
          </w:rPr>
          <w:t>22</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03" w:history="1">
        <w:r>
          <w:rPr>
            <w:rStyle w:val="Lienhypertexte"/>
            <w:noProof/>
          </w:rPr>
          <w:t>Article 10 - PILOTAGE du marché</w:t>
        </w:r>
        <w:r>
          <w:rPr>
            <w:noProof/>
            <w:webHidden/>
          </w:rPr>
          <w:tab/>
        </w:r>
        <w:r>
          <w:rPr>
            <w:noProof/>
            <w:webHidden/>
          </w:rPr>
          <w:fldChar w:fldCharType="begin"/>
        </w:r>
        <w:r>
          <w:rPr>
            <w:noProof/>
            <w:webHidden/>
          </w:rPr>
          <w:instrText xml:space="preserve"> PAGEREF _Toc171514203 \h </w:instrText>
        </w:r>
        <w:r>
          <w:rPr>
            <w:noProof/>
            <w:webHidden/>
          </w:rPr>
        </w:r>
        <w:r>
          <w:rPr>
            <w:noProof/>
            <w:webHidden/>
          </w:rPr>
          <w:fldChar w:fldCharType="separate"/>
        </w:r>
        <w:r>
          <w:rPr>
            <w:noProof/>
            <w:webHidden/>
          </w:rPr>
          <w:t>22</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04" w:history="1">
        <w:r>
          <w:rPr>
            <w:rStyle w:val="Lienhypertexte"/>
            <w:noProof/>
          </w:rPr>
          <w:t>10.1 Réunion de démarrage du marché</w:t>
        </w:r>
        <w:r>
          <w:rPr>
            <w:noProof/>
            <w:webHidden/>
          </w:rPr>
          <w:tab/>
        </w:r>
        <w:r>
          <w:rPr>
            <w:noProof/>
            <w:webHidden/>
          </w:rPr>
          <w:fldChar w:fldCharType="begin"/>
        </w:r>
        <w:r>
          <w:rPr>
            <w:noProof/>
            <w:webHidden/>
          </w:rPr>
          <w:instrText xml:space="preserve"> PAGEREF _Toc171514204 \h </w:instrText>
        </w:r>
        <w:r>
          <w:rPr>
            <w:noProof/>
            <w:webHidden/>
          </w:rPr>
        </w:r>
        <w:r>
          <w:rPr>
            <w:noProof/>
            <w:webHidden/>
          </w:rPr>
          <w:fldChar w:fldCharType="separate"/>
        </w:r>
        <w:r>
          <w:rPr>
            <w:noProof/>
            <w:webHidden/>
          </w:rPr>
          <w:t>22</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05" w:history="1">
        <w:r>
          <w:rPr>
            <w:rStyle w:val="Lienhypertexte"/>
            <w:noProof/>
          </w:rPr>
          <w:t>10.2 Pilotage du marché et réunions en cours d’exécution</w:t>
        </w:r>
        <w:r>
          <w:rPr>
            <w:noProof/>
            <w:webHidden/>
          </w:rPr>
          <w:tab/>
        </w:r>
        <w:r>
          <w:rPr>
            <w:noProof/>
            <w:webHidden/>
          </w:rPr>
          <w:fldChar w:fldCharType="begin"/>
        </w:r>
        <w:r>
          <w:rPr>
            <w:noProof/>
            <w:webHidden/>
          </w:rPr>
          <w:instrText xml:space="preserve"> PAGEREF _Toc171514205 \h </w:instrText>
        </w:r>
        <w:r>
          <w:rPr>
            <w:noProof/>
            <w:webHidden/>
          </w:rPr>
        </w:r>
        <w:r>
          <w:rPr>
            <w:noProof/>
            <w:webHidden/>
          </w:rPr>
          <w:fldChar w:fldCharType="separate"/>
        </w:r>
        <w:r>
          <w:rPr>
            <w:noProof/>
            <w:webHidden/>
          </w:rPr>
          <w:t>22</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6" w:history="1">
        <w:r>
          <w:rPr>
            <w:rStyle w:val="Lienhypertexte"/>
            <w:noProof/>
            <w:lang w:eastAsia="ja-JP"/>
          </w:rPr>
          <w:t>10.2.1 Réunion de suivi</w:t>
        </w:r>
        <w:r>
          <w:rPr>
            <w:noProof/>
            <w:webHidden/>
          </w:rPr>
          <w:tab/>
        </w:r>
        <w:r>
          <w:rPr>
            <w:noProof/>
            <w:webHidden/>
          </w:rPr>
          <w:fldChar w:fldCharType="begin"/>
        </w:r>
        <w:r>
          <w:rPr>
            <w:noProof/>
            <w:webHidden/>
          </w:rPr>
          <w:instrText xml:space="preserve"> PAGEREF _Toc171514206 \h </w:instrText>
        </w:r>
        <w:r>
          <w:rPr>
            <w:noProof/>
            <w:webHidden/>
          </w:rPr>
        </w:r>
        <w:r>
          <w:rPr>
            <w:noProof/>
            <w:webHidden/>
          </w:rPr>
          <w:fldChar w:fldCharType="separate"/>
        </w:r>
        <w:r>
          <w:rPr>
            <w:noProof/>
            <w:webHidden/>
          </w:rPr>
          <w:t>22</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7" w:history="1">
        <w:r>
          <w:rPr>
            <w:rStyle w:val="Lienhypertexte"/>
            <w:noProof/>
            <w:lang w:eastAsia="ja-JP"/>
          </w:rPr>
          <w:t>10.2.1 Etat d’activité trimestriel</w:t>
        </w:r>
        <w:r>
          <w:rPr>
            <w:noProof/>
            <w:webHidden/>
          </w:rPr>
          <w:tab/>
        </w:r>
        <w:r>
          <w:rPr>
            <w:noProof/>
            <w:webHidden/>
          </w:rPr>
          <w:fldChar w:fldCharType="begin"/>
        </w:r>
        <w:r>
          <w:rPr>
            <w:noProof/>
            <w:webHidden/>
          </w:rPr>
          <w:instrText xml:space="preserve"> PAGEREF _Toc171514207 \h </w:instrText>
        </w:r>
        <w:r>
          <w:rPr>
            <w:noProof/>
            <w:webHidden/>
          </w:rPr>
        </w:r>
        <w:r>
          <w:rPr>
            <w:noProof/>
            <w:webHidden/>
          </w:rPr>
          <w:fldChar w:fldCharType="separate"/>
        </w:r>
        <w:r>
          <w:rPr>
            <w:noProof/>
            <w:webHidden/>
          </w:rPr>
          <w:t>23</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FR"/>
        </w:rPr>
      </w:pPr>
      <w:hyperlink w:anchor="_Toc171514208" w:history="1">
        <w:r>
          <w:rPr>
            <w:rStyle w:val="Lienhypertexte"/>
            <w:noProof/>
            <w:lang w:eastAsia="ja-JP"/>
          </w:rPr>
          <w:t>10.2.2 Evaluations du titulaire</w:t>
        </w:r>
        <w:r>
          <w:rPr>
            <w:noProof/>
            <w:webHidden/>
          </w:rPr>
          <w:tab/>
        </w:r>
        <w:r>
          <w:rPr>
            <w:noProof/>
            <w:webHidden/>
          </w:rPr>
          <w:fldChar w:fldCharType="begin"/>
        </w:r>
        <w:r>
          <w:rPr>
            <w:noProof/>
            <w:webHidden/>
          </w:rPr>
          <w:instrText xml:space="preserve"> PAGEREF _Toc171514208 \h </w:instrText>
        </w:r>
        <w:r>
          <w:rPr>
            <w:noProof/>
            <w:webHidden/>
          </w:rPr>
        </w:r>
        <w:r>
          <w:rPr>
            <w:noProof/>
            <w:webHidden/>
          </w:rPr>
          <w:fldChar w:fldCharType="separate"/>
        </w:r>
        <w:r>
          <w:rPr>
            <w:noProof/>
            <w:webHidden/>
          </w:rPr>
          <w:t>23</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09" w:history="1">
        <w:r>
          <w:rPr>
            <w:rStyle w:val="Lienhypertexte"/>
            <w:noProof/>
          </w:rPr>
          <w:t>10.3 Démarrage des prestations</w:t>
        </w:r>
        <w:r>
          <w:rPr>
            <w:noProof/>
            <w:webHidden/>
          </w:rPr>
          <w:tab/>
        </w:r>
        <w:r>
          <w:rPr>
            <w:noProof/>
            <w:webHidden/>
          </w:rPr>
          <w:fldChar w:fldCharType="begin"/>
        </w:r>
        <w:r>
          <w:rPr>
            <w:noProof/>
            <w:webHidden/>
          </w:rPr>
          <w:instrText xml:space="preserve"> PAGEREF _Toc171514209 \h </w:instrText>
        </w:r>
        <w:r>
          <w:rPr>
            <w:noProof/>
            <w:webHidden/>
          </w:rPr>
        </w:r>
        <w:r>
          <w:rPr>
            <w:noProof/>
            <w:webHidden/>
          </w:rPr>
          <w:fldChar w:fldCharType="separate"/>
        </w:r>
        <w:r>
          <w:rPr>
            <w:noProof/>
            <w:webHidden/>
          </w:rPr>
          <w:t>24</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10" w:history="1">
        <w:r>
          <w:rPr>
            <w:rStyle w:val="Lienhypertexte"/>
            <w:noProof/>
          </w:rPr>
          <w:t>Article 11 - forme et contenu des prix</w:t>
        </w:r>
        <w:r>
          <w:rPr>
            <w:noProof/>
            <w:webHidden/>
          </w:rPr>
          <w:tab/>
        </w:r>
        <w:r>
          <w:rPr>
            <w:noProof/>
            <w:webHidden/>
          </w:rPr>
          <w:fldChar w:fldCharType="begin"/>
        </w:r>
        <w:r>
          <w:rPr>
            <w:noProof/>
            <w:webHidden/>
          </w:rPr>
          <w:instrText xml:space="preserve"> PAGEREF _Toc171514210 \h </w:instrText>
        </w:r>
        <w:r>
          <w:rPr>
            <w:noProof/>
            <w:webHidden/>
          </w:rPr>
        </w:r>
        <w:r>
          <w:rPr>
            <w:noProof/>
            <w:webHidden/>
          </w:rPr>
          <w:fldChar w:fldCharType="separate"/>
        </w:r>
        <w:r>
          <w:rPr>
            <w:noProof/>
            <w:webHidden/>
          </w:rPr>
          <w:t>24</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11" w:history="1">
        <w:r>
          <w:rPr>
            <w:rStyle w:val="Lienhypertexte"/>
            <w:noProof/>
          </w:rPr>
          <w:t>Article 12 - emission des commandes</w:t>
        </w:r>
        <w:r>
          <w:rPr>
            <w:noProof/>
            <w:webHidden/>
          </w:rPr>
          <w:tab/>
        </w:r>
        <w:r>
          <w:rPr>
            <w:noProof/>
            <w:webHidden/>
          </w:rPr>
          <w:fldChar w:fldCharType="begin"/>
        </w:r>
        <w:r>
          <w:rPr>
            <w:noProof/>
            <w:webHidden/>
          </w:rPr>
          <w:instrText xml:space="preserve"> PAGEREF _Toc171514211 \h </w:instrText>
        </w:r>
        <w:r>
          <w:rPr>
            <w:noProof/>
            <w:webHidden/>
          </w:rPr>
        </w:r>
        <w:r>
          <w:rPr>
            <w:noProof/>
            <w:webHidden/>
          </w:rPr>
          <w:fldChar w:fldCharType="separate"/>
        </w:r>
        <w:r>
          <w:rPr>
            <w:noProof/>
            <w:webHidden/>
          </w:rPr>
          <w:t>24</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12" w:history="1">
        <w:r>
          <w:rPr>
            <w:rStyle w:val="Lienhypertexte"/>
            <w:noProof/>
          </w:rPr>
          <w:t>Article 13 - modalités financières générales</w:t>
        </w:r>
        <w:r>
          <w:rPr>
            <w:noProof/>
            <w:webHidden/>
          </w:rPr>
          <w:tab/>
        </w:r>
        <w:r>
          <w:rPr>
            <w:noProof/>
            <w:webHidden/>
          </w:rPr>
          <w:fldChar w:fldCharType="begin"/>
        </w:r>
        <w:r>
          <w:rPr>
            <w:noProof/>
            <w:webHidden/>
          </w:rPr>
          <w:instrText xml:space="preserve"> PAGEREF _Toc171514212 \h </w:instrText>
        </w:r>
        <w:r>
          <w:rPr>
            <w:noProof/>
            <w:webHidden/>
          </w:rPr>
        </w:r>
        <w:r>
          <w:rPr>
            <w:noProof/>
            <w:webHidden/>
          </w:rPr>
          <w:fldChar w:fldCharType="separate"/>
        </w:r>
        <w:r>
          <w:rPr>
            <w:noProof/>
            <w:webHidden/>
          </w:rPr>
          <w:t>24</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13" w:history="1">
        <w:r>
          <w:rPr>
            <w:rStyle w:val="Lienhypertexte"/>
            <w:noProof/>
          </w:rPr>
          <w:t>Article 14 - Penalités</w:t>
        </w:r>
        <w:r>
          <w:rPr>
            <w:noProof/>
            <w:webHidden/>
          </w:rPr>
          <w:tab/>
        </w:r>
        <w:r>
          <w:rPr>
            <w:noProof/>
            <w:webHidden/>
          </w:rPr>
          <w:fldChar w:fldCharType="begin"/>
        </w:r>
        <w:r>
          <w:rPr>
            <w:noProof/>
            <w:webHidden/>
          </w:rPr>
          <w:instrText xml:space="preserve"> PAGEREF _Toc171514213 \h </w:instrText>
        </w:r>
        <w:r>
          <w:rPr>
            <w:noProof/>
            <w:webHidden/>
          </w:rPr>
        </w:r>
        <w:r>
          <w:rPr>
            <w:noProof/>
            <w:webHidden/>
          </w:rPr>
          <w:fldChar w:fldCharType="separate"/>
        </w:r>
        <w:r>
          <w:rPr>
            <w:noProof/>
            <w:webHidden/>
          </w:rPr>
          <w:t>24</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4" w:history="1">
        <w:r>
          <w:rPr>
            <w:rStyle w:val="Lienhypertexte"/>
            <w:noProof/>
          </w:rPr>
          <w:t>14.1 Pénalités en cas de retard liées à l’exécution des prestations</w:t>
        </w:r>
        <w:r>
          <w:rPr>
            <w:noProof/>
            <w:webHidden/>
          </w:rPr>
          <w:tab/>
        </w:r>
        <w:r>
          <w:rPr>
            <w:noProof/>
            <w:webHidden/>
          </w:rPr>
          <w:fldChar w:fldCharType="begin"/>
        </w:r>
        <w:r>
          <w:rPr>
            <w:noProof/>
            <w:webHidden/>
          </w:rPr>
          <w:instrText xml:space="preserve"> PAGEREF _Toc171514214 \h </w:instrText>
        </w:r>
        <w:r>
          <w:rPr>
            <w:noProof/>
            <w:webHidden/>
          </w:rPr>
        </w:r>
        <w:r>
          <w:rPr>
            <w:noProof/>
            <w:webHidden/>
          </w:rPr>
          <w:fldChar w:fldCharType="separate"/>
        </w:r>
        <w:r>
          <w:rPr>
            <w:noProof/>
            <w:webHidden/>
          </w:rPr>
          <w:t>25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5" w:history="1">
        <w:r>
          <w:rPr>
            <w:rStyle w:val="Lienhypertexte"/>
            <w:noProof/>
          </w:rPr>
          <w:t>14.2 Pénalités pour annulation de la part du titulaire</w:t>
        </w:r>
        <w:r>
          <w:rPr>
            <w:noProof/>
            <w:webHidden/>
          </w:rPr>
          <w:tab/>
        </w:r>
        <w:r>
          <w:rPr>
            <w:noProof/>
            <w:webHidden/>
          </w:rPr>
          <w:fldChar w:fldCharType="begin"/>
        </w:r>
        <w:r>
          <w:rPr>
            <w:noProof/>
            <w:webHidden/>
          </w:rPr>
          <w:instrText xml:space="preserve"> PAGEREF _Toc171514215 \h </w:instrText>
        </w:r>
        <w:r>
          <w:rPr>
            <w:noProof/>
            <w:webHidden/>
          </w:rPr>
        </w:r>
        <w:r>
          <w:rPr>
            <w:noProof/>
            <w:webHidden/>
          </w:rPr>
          <w:fldChar w:fldCharType="separate"/>
        </w:r>
        <w:r>
          <w:rPr>
            <w:noProof/>
            <w:webHidden/>
          </w:rPr>
          <w:t>25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6" w:history="1">
        <w:r>
          <w:rPr>
            <w:rStyle w:val="Lienhypertexte"/>
            <w:noProof/>
          </w:rPr>
          <w:t>14.3 Pénalités pour non-respect des conditions d’exécution</w:t>
        </w:r>
        <w:r>
          <w:rPr>
            <w:noProof/>
            <w:webHidden/>
          </w:rPr>
          <w:tab/>
        </w:r>
        <w:r>
          <w:rPr>
            <w:noProof/>
            <w:webHidden/>
          </w:rPr>
          <w:fldChar w:fldCharType="begin"/>
        </w:r>
        <w:r>
          <w:rPr>
            <w:noProof/>
            <w:webHidden/>
          </w:rPr>
          <w:instrText xml:space="preserve"> PAGEREF _Toc171514216 \h </w:instrText>
        </w:r>
        <w:r>
          <w:rPr>
            <w:noProof/>
            <w:webHidden/>
          </w:rPr>
        </w:r>
        <w:r>
          <w:rPr>
            <w:noProof/>
            <w:webHidden/>
          </w:rPr>
          <w:fldChar w:fldCharType="separate"/>
        </w:r>
        <w:r>
          <w:rPr>
            <w:noProof/>
            <w:webHidden/>
          </w:rPr>
          <w:t>25</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7" w:history="1">
        <w:r>
          <w:rPr>
            <w:rStyle w:val="Lienhypertexte"/>
            <w:noProof/>
          </w:rPr>
          <w:t>14.4 Pénalités sur le non-respect des exigences de sécurité des systèmes d’information</w:t>
        </w:r>
        <w:r>
          <w:rPr>
            <w:noProof/>
            <w:webHidden/>
          </w:rPr>
          <w:tab/>
        </w:r>
        <w:r>
          <w:rPr>
            <w:noProof/>
            <w:webHidden/>
          </w:rPr>
          <w:fldChar w:fldCharType="begin"/>
        </w:r>
        <w:r>
          <w:rPr>
            <w:noProof/>
            <w:webHidden/>
          </w:rPr>
          <w:instrText xml:space="preserve"> PAGEREF _Toc171514217 \h </w:instrText>
        </w:r>
        <w:r>
          <w:rPr>
            <w:noProof/>
            <w:webHidden/>
          </w:rPr>
        </w:r>
        <w:r>
          <w:rPr>
            <w:noProof/>
            <w:webHidden/>
          </w:rPr>
          <w:fldChar w:fldCharType="separate"/>
        </w:r>
        <w:r>
          <w:rPr>
            <w:noProof/>
            <w:webHidden/>
          </w:rPr>
          <w:t>26</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8" w:history="1">
        <w:r>
          <w:rPr>
            <w:rStyle w:val="Lienhypertexte"/>
            <w:noProof/>
          </w:rPr>
          <w:t>14.5 Pénalités pour absence de déclaration de conflit d’intérêt ou non-respect de l’article relatif aux obligations déontologiques</w:t>
        </w:r>
        <w:r>
          <w:rPr>
            <w:noProof/>
            <w:webHidden/>
          </w:rPr>
          <w:tab/>
        </w:r>
        <w:r>
          <w:rPr>
            <w:noProof/>
            <w:webHidden/>
          </w:rPr>
          <w:fldChar w:fldCharType="begin"/>
        </w:r>
        <w:r>
          <w:rPr>
            <w:noProof/>
            <w:webHidden/>
          </w:rPr>
          <w:instrText xml:space="preserve"> PAGEREF _Toc171514218 \h </w:instrText>
        </w:r>
        <w:r>
          <w:rPr>
            <w:noProof/>
            <w:webHidden/>
          </w:rPr>
        </w:r>
        <w:r>
          <w:rPr>
            <w:noProof/>
            <w:webHidden/>
          </w:rPr>
          <w:fldChar w:fldCharType="separate"/>
        </w:r>
        <w:r>
          <w:rPr>
            <w:noProof/>
            <w:webHidden/>
          </w:rPr>
          <w:t>26</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19" w:history="1">
        <w:r>
          <w:rPr>
            <w:rStyle w:val="Lienhypertexte"/>
            <w:noProof/>
          </w:rPr>
          <w:t>14.6 Pénalités liées à des obligations administratives</w:t>
        </w:r>
        <w:r>
          <w:rPr>
            <w:noProof/>
            <w:webHidden/>
          </w:rPr>
          <w:tab/>
        </w:r>
        <w:r>
          <w:rPr>
            <w:noProof/>
            <w:webHidden/>
          </w:rPr>
          <w:fldChar w:fldCharType="begin"/>
        </w:r>
        <w:r>
          <w:rPr>
            <w:noProof/>
            <w:webHidden/>
          </w:rPr>
          <w:instrText xml:space="preserve"> PAGEREF _Toc171514219 \h </w:instrText>
        </w:r>
        <w:r>
          <w:rPr>
            <w:noProof/>
            <w:webHidden/>
          </w:rPr>
        </w:r>
        <w:r>
          <w:rPr>
            <w:noProof/>
            <w:webHidden/>
          </w:rPr>
          <w:fldChar w:fldCharType="separate"/>
        </w:r>
        <w:r>
          <w:rPr>
            <w:noProof/>
            <w:webHidden/>
          </w:rPr>
          <w:t>26</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20" w:history="1">
        <w:r>
          <w:rPr>
            <w:rStyle w:val="Lienhypertexte"/>
            <w:noProof/>
          </w:rPr>
          <w:t>14.7 Pénalités liées au non-respect de la règlementation applicable à la protection des données personnelles</w:t>
        </w:r>
        <w:r>
          <w:rPr>
            <w:noProof/>
            <w:webHidden/>
          </w:rPr>
          <w:tab/>
        </w:r>
        <w:r>
          <w:rPr>
            <w:noProof/>
            <w:webHidden/>
          </w:rPr>
          <w:fldChar w:fldCharType="begin"/>
        </w:r>
        <w:r>
          <w:rPr>
            <w:noProof/>
            <w:webHidden/>
          </w:rPr>
          <w:instrText xml:space="preserve"> PAGEREF _Toc171514220 \h </w:instrText>
        </w:r>
        <w:r>
          <w:rPr>
            <w:noProof/>
            <w:webHidden/>
          </w:rPr>
        </w:r>
        <w:r>
          <w:rPr>
            <w:noProof/>
            <w:webHidden/>
          </w:rPr>
          <w:fldChar w:fldCharType="separate"/>
        </w:r>
        <w:r>
          <w:rPr>
            <w:noProof/>
            <w:webHidden/>
          </w:rPr>
          <w:t>26</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21" w:history="1">
        <w:r>
          <w:rPr>
            <w:rStyle w:val="Lienhypertexte"/>
            <w:noProof/>
          </w:rPr>
          <w:t>14.8 Pénalités en cas d’utilisation abusive de termes non issus de la langue française</w:t>
        </w:r>
        <w:r>
          <w:rPr>
            <w:noProof/>
            <w:webHidden/>
          </w:rPr>
          <w:tab/>
        </w:r>
        <w:r>
          <w:rPr>
            <w:noProof/>
            <w:webHidden/>
          </w:rPr>
          <w:fldChar w:fldCharType="begin"/>
        </w:r>
        <w:r>
          <w:rPr>
            <w:noProof/>
            <w:webHidden/>
          </w:rPr>
          <w:instrText xml:space="preserve"> PAGEREF _Toc171514221 \h </w:instrText>
        </w:r>
        <w:r>
          <w:rPr>
            <w:noProof/>
            <w:webHidden/>
          </w:rPr>
        </w:r>
        <w:r>
          <w:rPr>
            <w:noProof/>
            <w:webHidden/>
          </w:rPr>
          <w:fldChar w:fldCharType="separate"/>
        </w:r>
        <w:r>
          <w:rPr>
            <w:noProof/>
            <w:webHidden/>
          </w:rPr>
          <w:t>26</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22" w:history="1">
        <w:r>
          <w:rPr>
            <w:rStyle w:val="Lienhypertexte"/>
            <w:noProof/>
          </w:rPr>
          <w:t>14.9 Pénalités en cas d’utilisation des sceaux, timbres, cachets ou marques de l’administration</w:t>
        </w:r>
        <w:r>
          <w:rPr>
            <w:noProof/>
            <w:webHidden/>
          </w:rPr>
          <w:tab/>
        </w:r>
        <w:r>
          <w:rPr>
            <w:noProof/>
            <w:webHidden/>
          </w:rPr>
          <w:fldChar w:fldCharType="begin"/>
        </w:r>
        <w:r>
          <w:rPr>
            <w:noProof/>
            <w:webHidden/>
          </w:rPr>
          <w:instrText xml:space="preserve"> PAGEREF _Toc171514222 \h </w:instrText>
        </w:r>
        <w:r>
          <w:rPr>
            <w:noProof/>
            <w:webHidden/>
          </w:rPr>
        </w:r>
        <w:r>
          <w:rPr>
            <w:noProof/>
            <w:webHidden/>
          </w:rPr>
          <w:fldChar w:fldCharType="separate"/>
        </w:r>
        <w:r>
          <w:rPr>
            <w:noProof/>
            <w:webHidden/>
          </w:rPr>
          <w:t>27</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23" w:history="1">
        <w:r>
          <w:rPr>
            <w:rStyle w:val="Lienhypertexte"/>
            <w:noProof/>
          </w:rPr>
          <w:t>14.10 Seuil d'exonération des pénalités</w:t>
        </w:r>
        <w:r>
          <w:rPr>
            <w:noProof/>
            <w:webHidden/>
          </w:rPr>
          <w:tab/>
        </w:r>
        <w:r>
          <w:rPr>
            <w:noProof/>
            <w:webHidden/>
          </w:rPr>
          <w:fldChar w:fldCharType="begin"/>
        </w:r>
        <w:r>
          <w:rPr>
            <w:noProof/>
            <w:webHidden/>
          </w:rPr>
          <w:instrText xml:space="preserve"> PAGEREF _Toc171514223 \h </w:instrText>
        </w:r>
        <w:r>
          <w:rPr>
            <w:noProof/>
            <w:webHidden/>
          </w:rPr>
        </w:r>
        <w:r>
          <w:rPr>
            <w:noProof/>
            <w:webHidden/>
          </w:rPr>
          <w:fldChar w:fldCharType="separate"/>
        </w:r>
        <w:r>
          <w:rPr>
            <w:noProof/>
            <w:webHidden/>
          </w:rPr>
          <w:t>27</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4" w:history="1">
        <w:r>
          <w:rPr>
            <w:rStyle w:val="Lienhypertexte"/>
            <w:noProof/>
          </w:rPr>
          <w:t>Article 15 - ANNULATION DES PRESTATIONS ET REMBOURSEMENT DES FRAIS REELS</w:t>
        </w:r>
        <w:r>
          <w:rPr>
            <w:noProof/>
            <w:webHidden/>
          </w:rPr>
          <w:tab/>
        </w:r>
        <w:r>
          <w:rPr>
            <w:noProof/>
            <w:webHidden/>
          </w:rPr>
          <w:fldChar w:fldCharType="begin"/>
        </w:r>
        <w:r>
          <w:rPr>
            <w:noProof/>
            <w:webHidden/>
          </w:rPr>
          <w:instrText xml:space="preserve"> PAGEREF _Toc171514224 \h </w:instrText>
        </w:r>
        <w:r>
          <w:rPr>
            <w:noProof/>
            <w:webHidden/>
          </w:rPr>
        </w:r>
        <w:r>
          <w:rPr>
            <w:noProof/>
            <w:webHidden/>
          </w:rPr>
          <w:fldChar w:fldCharType="separate"/>
        </w:r>
        <w:r>
          <w:rPr>
            <w:noProof/>
            <w:webHidden/>
          </w:rPr>
          <w:t>27</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5" w:history="1">
        <w:r>
          <w:rPr>
            <w:rStyle w:val="Lienhypertexte"/>
            <w:noProof/>
          </w:rPr>
          <w:t>Article 16 - MODALITES DE FACTURATION</w:t>
        </w:r>
        <w:r>
          <w:rPr>
            <w:noProof/>
            <w:webHidden/>
          </w:rPr>
          <w:tab/>
        </w:r>
        <w:r>
          <w:rPr>
            <w:noProof/>
            <w:webHidden/>
          </w:rPr>
          <w:fldChar w:fldCharType="begin"/>
        </w:r>
        <w:r>
          <w:rPr>
            <w:noProof/>
            <w:webHidden/>
          </w:rPr>
          <w:instrText xml:space="preserve"> PAGEREF _Toc171514225 \h </w:instrText>
        </w:r>
        <w:r>
          <w:rPr>
            <w:noProof/>
            <w:webHidden/>
          </w:rPr>
        </w:r>
        <w:r>
          <w:rPr>
            <w:noProof/>
            <w:webHidden/>
          </w:rPr>
          <w:fldChar w:fldCharType="separate"/>
        </w:r>
        <w:r>
          <w:rPr>
            <w:noProof/>
            <w:webHidden/>
          </w:rPr>
          <w:t>27</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6" w:history="1">
        <w:r>
          <w:rPr>
            <w:rStyle w:val="Lienhypertexte"/>
            <w:noProof/>
          </w:rPr>
          <w:t>Article 17 - REGIME DES DROITS DE PROPRIETE INTELLECTUELLE</w:t>
        </w:r>
        <w:r>
          <w:rPr>
            <w:noProof/>
            <w:webHidden/>
          </w:rPr>
          <w:tab/>
        </w:r>
        <w:r>
          <w:rPr>
            <w:noProof/>
            <w:webHidden/>
          </w:rPr>
          <w:fldChar w:fldCharType="begin"/>
        </w:r>
        <w:r>
          <w:rPr>
            <w:noProof/>
            <w:webHidden/>
          </w:rPr>
          <w:instrText xml:space="preserve"> PAGEREF _Toc171514226 \h </w:instrText>
        </w:r>
        <w:r>
          <w:rPr>
            <w:noProof/>
            <w:webHidden/>
          </w:rPr>
        </w:r>
        <w:r>
          <w:rPr>
            <w:noProof/>
            <w:webHidden/>
          </w:rPr>
          <w:fldChar w:fldCharType="separate"/>
        </w:r>
        <w:r>
          <w:rPr>
            <w:noProof/>
            <w:webHidden/>
          </w:rPr>
          <w:t>27</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7" w:history="1">
        <w:r>
          <w:rPr>
            <w:rStyle w:val="Lienhypertexte"/>
            <w:noProof/>
          </w:rPr>
          <w:t>Article 18 - TRAITEMENT DES DONNEES A CARACTERE PERSONNEL</w:t>
        </w:r>
        <w:r>
          <w:rPr>
            <w:noProof/>
            <w:webHidden/>
          </w:rPr>
          <w:tab/>
        </w:r>
        <w:r>
          <w:rPr>
            <w:noProof/>
            <w:webHidden/>
          </w:rPr>
          <w:fldChar w:fldCharType="begin"/>
        </w:r>
        <w:r>
          <w:rPr>
            <w:noProof/>
            <w:webHidden/>
          </w:rPr>
          <w:instrText xml:space="preserve"> PAGEREF _Toc171514227 \h </w:instrText>
        </w:r>
        <w:r>
          <w:rPr>
            <w:noProof/>
            <w:webHidden/>
          </w:rPr>
        </w:r>
        <w:r>
          <w:rPr>
            <w:noProof/>
            <w:webHidden/>
          </w:rPr>
          <w:fldChar w:fldCharType="separate"/>
        </w:r>
        <w:r>
          <w:rPr>
            <w:noProof/>
            <w:webHidden/>
          </w:rPr>
          <w:t>28</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8" w:history="1">
        <w:r>
          <w:rPr>
            <w:rStyle w:val="Lienhypertexte"/>
            <w:noProof/>
          </w:rPr>
          <w:t>Article 19 - SOUS-TRAITANCE</w:t>
        </w:r>
        <w:r>
          <w:rPr>
            <w:noProof/>
            <w:webHidden/>
          </w:rPr>
          <w:tab/>
        </w:r>
        <w:r>
          <w:rPr>
            <w:noProof/>
            <w:webHidden/>
          </w:rPr>
          <w:fldChar w:fldCharType="begin"/>
        </w:r>
        <w:r>
          <w:rPr>
            <w:noProof/>
            <w:webHidden/>
          </w:rPr>
          <w:instrText xml:space="preserve"> PAGEREF _Toc171514228 \h </w:instrText>
        </w:r>
        <w:r>
          <w:rPr>
            <w:noProof/>
            <w:webHidden/>
          </w:rPr>
        </w:r>
        <w:r>
          <w:rPr>
            <w:noProof/>
            <w:webHidden/>
          </w:rPr>
          <w:fldChar w:fldCharType="separate"/>
        </w:r>
        <w:r>
          <w:rPr>
            <w:noProof/>
            <w:webHidden/>
          </w:rPr>
          <w:t>28</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29" w:history="1">
        <w:r>
          <w:rPr>
            <w:rStyle w:val="Lienhypertexte"/>
            <w:noProof/>
          </w:rPr>
          <w:t>Article 20 - DISPOSITIONS DIVERSES</w:t>
        </w:r>
        <w:r>
          <w:rPr>
            <w:noProof/>
            <w:webHidden/>
          </w:rPr>
          <w:tab/>
        </w:r>
        <w:r>
          <w:rPr>
            <w:noProof/>
            <w:webHidden/>
          </w:rPr>
          <w:fldChar w:fldCharType="begin"/>
        </w:r>
        <w:r>
          <w:rPr>
            <w:noProof/>
            <w:webHidden/>
          </w:rPr>
          <w:instrText xml:space="preserve"> PAGEREF _Toc171514229 \h </w:instrText>
        </w:r>
        <w:r>
          <w:rPr>
            <w:noProof/>
            <w:webHidden/>
          </w:rPr>
        </w:r>
        <w:r>
          <w:rPr>
            <w:noProof/>
            <w:webHidden/>
          </w:rPr>
          <w:fldChar w:fldCharType="separate"/>
        </w:r>
        <w:r>
          <w:rPr>
            <w:noProof/>
            <w:webHidden/>
          </w:rPr>
          <w:t>30</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0" w:history="1">
        <w:r>
          <w:rPr>
            <w:rStyle w:val="Lienhypertexte"/>
            <w:noProof/>
          </w:rPr>
          <w:t>20.1 Langue</w:t>
        </w:r>
        <w:r>
          <w:rPr>
            <w:noProof/>
            <w:webHidden/>
          </w:rPr>
          <w:tab/>
        </w:r>
        <w:r>
          <w:rPr>
            <w:noProof/>
            <w:webHidden/>
          </w:rPr>
          <w:fldChar w:fldCharType="begin"/>
        </w:r>
        <w:r>
          <w:rPr>
            <w:noProof/>
            <w:webHidden/>
          </w:rPr>
          <w:instrText xml:space="preserve"> PAGEREF _Toc171514230 \h </w:instrText>
        </w:r>
        <w:r>
          <w:rPr>
            <w:noProof/>
            <w:webHidden/>
          </w:rPr>
        </w:r>
        <w:r>
          <w:rPr>
            <w:noProof/>
            <w:webHidden/>
          </w:rPr>
          <w:fldChar w:fldCharType="separate"/>
        </w:r>
        <w:r>
          <w:rPr>
            <w:noProof/>
            <w:webHidden/>
          </w:rPr>
          <w:t>30</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1" w:history="1">
        <w:r>
          <w:rPr>
            <w:rStyle w:val="Lienhypertexte"/>
            <w:noProof/>
          </w:rPr>
          <w:t>20.2 Groupement</w:t>
        </w:r>
        <w:r>
          <w:rPr>
            <w:noProof/>
            <w:webHidden/>
          </w:rPr>
          <w:tab/>
        </w:r>
        <w:r>
          <w:rPr>
            <w:noProof/>
            <w:webHidden/>
          </w:rPr>
          <w:fldChar w:fldCharType="begin"/>
        </w:r>
        <w:r>
          <w:rPr>
            <w:noProof/>
            <w:webHidden/>
          </w:rPr>
          <w:instrText xml:space="preserve"> PAGEREF _Toc171514231 \h </w:instrText>
        </w:r>
        <w:r>
          <w:rPr>
            <w:noProof/>
            <w:webHidden/>
          </w:rPr>
        </w:r>
        <w:r>
          <w:rPr>
            <w:noProof/>
            <w:webHidden/>
          </w:rPr>
          <w:fldChar w:fldCharType="separate"/>
        </w:r>
        <w:r>
          <w:rPr>
            <w:noProof/>
            <w:webHidden/>
          </w:rPr>
          <w:t>30</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2" w:history="1">
        <w:r>
          <w:rPr>
            <w:rStyle w:val="Lienhypertexte"/>
            <w:noProof/>
          </w:rPr>
          <w:t>20.3 Assurances</w:t>
        </w:r>
        <w:r>
          <w:rPr>
            <w:noProof/>
            <w:webHidden/>
          </w:rPr>
          <w:tab/>
        </w:r>
        <w:r>
          <w:rPr>
            <w:noProof/>
            <w:webHidden/>
          </w:rPr>
          <w:fldChar w:fldCharType="begin"/>
        </w:r>
        <w:r>
          <w:rPr>
            <w:noProof/>
            <w:webHidden/>
          </w:rPr>
          <w:instrText xml:space="preserve"> PAGEREF _Toc171514232 \h </w:instrText>
        </w:r>
        <w:r>
          <w:rPr>
            <w:noProof/>
            <w:webHidden/>
          </w:rPr>
        </w:r>
        <w:r>
          <w:rPr>
            <w:noProof/>
            <w:webHidden/>
          </w:rPr>
          <w:fldChar w:fldCharType="separate"/>
        </w:r>
        <w:r>
          <w:rPr>
            <w:noProof/>
            <w:webHidden/>
          </w:rPr>
          <w:t>30</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3" w:history="1">
        <w:r>
          <w:rPr>
            <w:rStyle w:val="Lienhypertexte"/>
            <w:noProof/>
          </w:rPr>
          <w:t>20.4 Autres obligations administratives</w:t>
        </w:r>
        <w:r>
          <w:rPr>
            <w:noProof/>
            <w:webHidden/>
          </w:rPr>
          <w:tab/>
        </w:r>
        <w:r>
          <w:rPr>
            <w:noProof/>
            <w:webHidden/>
          </w:rPr>
          <w:fldChar w:fldCharType="begin"/>
        </w:r>
        <w:r>
          <w:rPr>
            <w:noProof/>
            <w:webHidden/>
          </w:rPr>
          <w:instrText xml:space="preserve"> PAGEREF _Toc171514233 \h </w:instrText>
        </w:r>
        <w:r>
          <w:rPr>
            <w:noProof/>
            <w:webHidden/>
          </w:rPr>
        </w:r>
        <w:r>
          <w:rPr>
            <w:noProof/>
            <w:webHidden/>
          </w:rPr>
          <w:fldChar w:fldCharType="separate"/>
        </w:r>
        <w:r>
          <w:rPr>
            <w:noProof/>
            <w:webHidden/>
          </w:rPr>
          <w:t>31</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4" w:history="1">
        <w:r>
          <w:rPr>
            <w:rStyle w:val="Lienhypertexte"/>
            <w:noProof/>
          </w:rPr>
          <w:t>20.5 Résiliation</w:t>
        </w:r>
        <w:r>
          <w:rPr>
            <w:noProof/>
            <w:webHidden/>
          </w:rPr>
          <w:tab/>
        </w:r>
        <w:r>
          <w:rPr>
            <w:noProof/>
            <w:webHidden/>
          </w:rPr>
          <w:fldChar w:fldCharType="begin"/>
        </w:r>
        <w:r>
          <w:rPr>
            <w:noProof/>
            <w:webHidden/>
          </w:rPr>
          <w:instrText xml:space="preserve"> PAGEREF _Toc171514234 \h </w:instrText>
        </w:r>
        <w:r>
          <w:rPr>
            <w:noProof/>
            <w:webHidden/>
          </w:rPr>
        </w:r>
        <w:r>
          <w:rPr>
            <w:noProof/>
            <w:webHidden/>
          </w:rPr>
          <w:fldChar w:fldCharType="separate"/>
        </w:r>
        <w:r>
          <w:rPr>
            <w:noProof/>
            <w:webHidden/>
          </w:rPr>
          <w:t>32</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5" w:history="1">
        <w:r>
          <w:rPr>
            <w:rStyle w:val="Lienhypertexte"/>
            <w:noProof/>
          </w:rPr>
          <w:t>20.6 Différends</w:t>
        </w:r>
        <w:r>
          <w:rPr>
            <w:noProof/>
            <w:webHidden/>
          </w:rPr>
          <w:tab/>
        </w:r>
        <w:r>
          <w:rPr>
            <w:noProof/>
            <w:webHidden/>
          </w:rPr>
          <w:fldChar w:fldCharType="begin"/>
        </w:r>
        <w:r>
          <w:rPr>
            <w:noProof/>
            <w:webHidden/>
          </w:rPr>
          <w:instrText xml:space="preserve"> PAGEREF _Toc171514235 \h </w:instrText>
        </w:r>
        <w:r>
          <w:rPr>
            <w:noProof/>
            <w:webHidden/>
          </w:rPr>
        </w:r>
        <w:r>
          <w:rPr>
            <w:noProof/>
            <w:webHidden/>
          </w:rPr>
          <w:fldChar w:fldCharType="separate"/>
        </w:r>
        <w:r>
          <w:rPr>
            <w:noProof/>
            <w:webHidden/>
          </w:rPr>
          <w:t>32</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6" w:history="1">
        <w:r>
          <w:rPr>
            <w:rStyle w:val="Lienhypertexte"/>
            <w:noProof/>
          </w:rPr>
          <w:t>20.7 Litiges et contentieux</w:t>
        </w:r>
        <w:r>
          <w:rPr>
            <w:noProof/>
            <w:webHidden/>
          </w:rPr>
          <w:tab/>
        </w:r>
        <w:r>
          <w:rPr>
            <w:noProof/>
            <w:webHidden/>
          </w:rPr>
          <w:fldChar w:fldCharType="begin"/>
        </w:r>
        <w:r>
          <w:rPr>
            <w:noProof/>
            <w:webHidden/>
          </w:rPr>
          <w:instrText xml:space="preserve"> PAGEREF _Toc171514236 \h </w:instrText>
        </w:r>
        <w:r>
          <w:rPr>
            <w:noProof/>
            <w:webHidden/>
          </w:rPr>
        </w:r>
        <w:r>
          <w:rPr>
            <w:noProof/>
            <w:webHidden/>
          </w:rPr>
          <w:fldChar w:fldCharType="separate"/>
        </w:r>
        <w:r>
          <w:rPr>
            <w:noProof/>
            <w:webHidden/>
          </w:rPr>
          <w:t>32</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37" w:history="1">
        <w:r>
          <w:rPr>
            <w:rStyle w:val="Lienhypertexte"/>
            <w:noProof/>
          </w:rPr>
          <w:t>Article 21 - DISPOSITIONS APPLICABLES EN CAS DE MENACE SANITAIRE GRAVE APPELANT DES MESURES D'URGENCE</w:t>
        </w:r>
        <w:r>
          <w:rPr>
            <w:noProof/>
            <w:webHidden/>
          </w:rPr>
          <w:tab/>
        </w:r>
        <w:r>
          <w:rPr>
            <w:noProof/>
            <w:webHidden/>
          </w:rPr>
          <w:fldChar w:fldCharType="begin"/>
        </w:r>
        <w:r>
          <w:rPr>
            <w:noProof/>
            <w:webHidden/>
          </w:rPr>
          <w:instrText xml:space="preserve"> PAGEREF _Toc171514237 \h </w:instrText>
        </w:r>
        <w:r>
          <w:rPr>
            <w:noProof/>
            <w:webHidden/>
          </w:rPr>
        </w:r>
        <w:r>
          <w:rPr>
            <w:noProof/>
            <w:webHidden/>
          </w:rPr>
          <w:fldChar w:fldCharType="separate"/>
        </w:r>
        <w:r>
          <w:rPr>
            <w:noProof/>
            <w:webHidden/>
          </w:rPr>
          <w:t>32</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8" w:history="1">
        <w:r>
          <w:rPr>
            <w:rStyle w:val="Lienhypertexte"/>
            <w:noProof/>
          </w:rPr>
          <w:t>21.1 Suspension de l'exécution des prestations à la demande du titulaire</w:t>
        </w:r>
        <w:r>
          <w:rPr>
            <w:noProof/>
            <w:webHidden/>
          </w:rPr>
          <w:tab/>
        </w:r>
        <w:r>
          <w:rPr>
            <w:noProof/>
            <w:webHidden/>
          </w:rPr>
          <w:fldChar w:fldCharType="begin"/>
        </w:r>
        <w:r>
          <w:rPr>
            <w:noProof/>
            <w:webHidden/>
          </w:rPr>
          <w:instrText xml:space="preserve"> PAGEREF _Toc171514238 \h </w:instrText>
        </w:r>
        <w:r>
          <w:rPr>
            <w:noProof/>
            <w:webHidden/>
          </w:rPr>
        </w:r>
        <w:r>
          <w:rPr>
            <w:noProof/>
            <w:webHidden/>
          </w:rPr>
          <w:fldChar w:fldCharType="separate"/>
        </w:r>
        <w:r>
          <w:rPr>
            <w:noProof/>
            <w:webHidden/>
          </w:rPr>
          <w:t>33</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39" w:history="1">
        <w:r>
          <w:rPr>
            <w:rStyle w:val="Lienhypertexte"/>
            <w:noProof/>
          </w:rPr>
          <w:t>21.2 Suspension à l'initiative de l’administration</w:t>
        </w:r>
        <w:r>
          <w:rPr>
            <w:noProof/>
            <w:webHidden/>
          </w:rPr>
          <w:tab/>
        </w:r>
        <w:r>
          <w:rPr>
            <w:noProof/>
            <w:webHidden/>
          </w:rPr>
          <w:fldChar w:fldCharType="begin"/>
        </w:r>
        <w:r>
          <w:rPr>
            <w:noProof/>
            <w:webHidden/>
          </w:rPr>
          <w:instrText xml:space="preserve"> PAGEREF _Toc171514239 \h </w:instrText>
        </w:r>
        <w:r>
          <w:rPr>
            <w:noProof/>
            <w:webHidden/>
          </w:rPr>
        </w:r>
        <w:r>
          <w:rPr>
            <w:noProof/>
            <w:webHidden/>
          </w:rPr>
          <w:fldChar w:fldCharType="separate"/>
        </w:r>
        <w:r>
          <w:rPr>
            <w:noProof/>
            <w:webHidden/>
          </w:rPr>
          <w:t>33</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40" w:history="1">
        <w:r>
          <w:rPr>
            <w:rStyle w:val="Lienhypertexte"/>
            <w:noProof/>
          </w:rPr>
          <w:t>21.3 Prolongation du délai d'exécution des prestations</w:t>
        </w:r>
        <w:r>
          <w:rPr>
            <w:noProof/>
            <w:webHidden/>
          </w:rPr>
          <w:tab/>
        </w:r>
        <w:r>
          <w:rPr>
            <w:noProof/>
            <w:webHidden/>
          </w:rPr>
          <w:fldChar w:fldCharType="begin"/>
        </w:r>
        <w:r>
          <w:rPr>
            <w:noProof/>
            <w:webHidden/>
          </w:rPr>
          <w:instrText xml:space="preserve"> PAGEREF _Toc171514240 \h </w:instrText>
        </w:r>
        <w:r>
          <w:rPr>
            <w:noProof/>
            <w:webHidden/>
          </w:rPr>
        </w:r>
        <w:r>
          <w:rPr>
            <w:noProof/>
            <w:webHidden/>
          </w:rPr>
          <w:fldChar w:fldCharType="separate"/>
        </w:r>
        <w:r>
          <w:rPr>
            <w:noProof/>
            <w:webHidden/>
          </w:rPr>
          <w:t>34</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41" w:history="1">
        <w:r>
          <w:rPr>
            <w:rStyle w:val="Lienhypertexte"/>
            <w:noProof/>
          </w:rPr>
          <w:t>21.4 Indemnisation suite à l'annulation d'un bon de commande</w:t>
        </w:r>
        <w:r>
          <w:rPr>
            <w:noProof/>
            <w:webHidden/>
          </w:rPr>
          <w:tab/>
        </w:r>
        <w:r>
          <w:rPr>
            <w:noProof/>
            <w:webHidden/>
          </w:rPr>
          <w:fldChar w:fldCharType="begin"/>
        </w:r>
        <w:r>
          <w:rPr>
            <w:noProof/>
            <w:webHidden/>
          </w:rPr>
          <w:instrText xml:space="preserve"> PAGEREF _Toc171514241 \h </w:instrText>
        </w:r>
        <w:r>
          <w:rPr>
            <w:noProof/>
            <w:webHidden/>
          </w:rPr>
        </w:r>
        <w:r>
          <w:rPr>
            <w:noProof/>
            <w:webHidden/>
          </w:rPr>
          <w:fldChar w:fldCharType="separate"/>
        </w:r>
        <w:r>
          <w:rPr>
            <w:noProof/>
            <w:webHidden/>
          </w:rPr>
          <w:t>34</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42" w:history="1">
        <w:r>
          <w:rPr>
            <w:rStyle w:val="Lienhypertexte"/>
            <w:noProof/>
          </w:rPr>
          <w:t>21.5 Modalités de communications en cas d’évènement perturbateur (crise)</w:t>
        </w:r>
        <w:r>
          <w:rPr>
            <w:noProof/>
            <w:webHidden/>
          </w:rPr>
          <w:tab/>
        </w:r>
        <w:r>
          <w:rPr>
            <w:noProof/>
            <w:webHidden/>
          </w:rPr>
          <w:fldChar w:fldCharType="begin"/>
        </w:r>
        <w:r>
          <w:rPr>
            <w:noProof/>
            <w:webHidden/>
          </w:rPr>
          <w:instrText xml:space="preserve"> PAGEREF _Toc171514242 \h </w:instrText>
        </w:r>
        <w:r>
          <w:rPr>
            <w:noProof/>
            <w:webHidden/>
          </w:rPr>
        </w:r>
        <w:r>
          <w:rPr>
            <w:noProof/>
            <w:webHidden/>
          </w:rPr>
          <w:fldChar w:fldCharType="separate"/>
        </w:r>
        <w:r>
          <w:rPr>
            <w:noProof/>
            <w:webHidden/>
          </w:rPr>
          <w:t>35</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43" w:history="1">
        <w:r>
          <w:rPr>
            <w:rStyle w:val="Lienhypertexte"/>
            <w:noProof/>
          </w:rPr>
          <w:t>Article 22 - DEROGATIONS AU CCAG DE REFERENCE</w:t>
        </w:r>
        <w:r>
          <w:rPr>
            <w:noProof/>
            <w:webHidden/>
          </w:rPr>
          <w:tab/>
        </w:r>
        <w:r>
          <w:rPr>
            <w:noProof/>
            <w:webHidden/>
          </w:rPr>
          <w:fldChar w:fldCharType="begin"/>
        </w:r>
        <w:r>
          <w:rPr>
            <w:noProof/>
            <w:webHidden/>
          </w:rPr>
          <w:instrText xml:space="preserve"> PAGEREF _Toc171514243 \h </w:instrText>
        </w:r>
        <w:r>
          <w:rPr>
            <w:noProof/>
            <w:webHidden/>
          </w:rPr>
        </w:r>
        <w:r>
          <w:rPr>
            <w:noProof/>
            <w:webHidden/>
          </w:rPr>
          <w:fldChar w:fldCharType="separate"/>
        </w:r>
        <w:r>
          <w:rPr>
            <w:noProof/>
            <w:webHidden/>
          </w:rPr>
          <w:t>35</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44" w:history="1">
        <w:r>
          <w:rPr>
            <w:rStyle w:val="Lienhypertexte"/>
            <w:noProof/>
          </w:rPr>
          <w:t>annexe 1 : Formulaire RGPD - Contrat de traitement des données à caractère personnel entre le responsable de traitement et son sous-traitant</w:t>
        </w:r>
        <w:r>
          <w:rPr>
            <w:noProof/>
            <w:webHidden/>
          </w:rPr>
          <w:tab/>
        </w:r>
        <w:r>
          <w:rPr>
            <w:noProof/>
            <w:webHidden/>
          </w:rPr>
          <w:fldChar w:fldCharType="begin"/>
        </w:r>
        <w:r>
          <w:rPr>
            <w:noProof/>
            <w:webHidden/>
          </w:rPr>
          <w:instrText xml:space="preserve"> PAGEREF _Toc171514244 \h </w:instrText>
        </w:r>
        <w:r>
          <w:rPr>
            <w:noProof/>
            <w:webHidden/>
          </w:rPr>
        </w:r>
        <w:r>
          <w:rPr>
            <w:noProof/>
            <w:webHidden/>
          </w:rPr>
          <w:fldChar w:fldCharType="separate"/>
        </w:r>
        <w:r>
          <w:rPr>
            <w:noProof/>
            <w:webHidden/>
          </w:rPr>
          <w:t>36</w:t>
        </w:r>
        <w:r>
          <w:rPr>
            <w:noProof/>
            <w:webHidden/>
          </w:rPr>
          <w:fldChar w:fldCharType="end"/>
        </w:r>
      </w:hyperlink>
    </w:p>
    <w:p>
      <w:pPr>
        <w:pStyle w:val="TM1"/>
        <w:tabs>
          <w:tab w:val="right" w:leader="dot" w:pos="9062"/>
        </w:tabs>
        <w:rPr>
          <w:rFonts w:eastAsiaTheme="minorEastAsia" w:cstheme="minorBidi"/>
          <w:b w:val="0"/>
          <w:bCs w:val="0"/>
          <w:caps w:val="0"/>
          <w:noProof/>
          <w:sz w:val="22"/>
          <w:szCs w:val="22"/>
          <w:lang w:eastAsia="fr-FR"/>
        </w:rPr>
      </w:pPr>
      <w:hyperlink w:anchor="_Toc171514245" w:history="1">
        <w:r>
          <w:rPr>
            <w:rStyle w:val="Lienhypertexte"/>
            <w:noProof/>
          </w:rPr>
          <w:t>Annexe 2 : Modèle de déclaration d’intéret</w:t>
        </w:r>
        <w:r>
          <w:rPr>
            <w:noProof/>
            <w:webHidden/>
          </w:rPr>
          <w:tab/>
        </w:r>
        <w:r>
          <w:rPr>
            <w:noProof/>
            <w:webHidden/>
          </w:rPr>
          <w:fldChar w:fldCharType="begin"/>
        </w:r>
        <w:r>
          <w:rPr>
            <w:noProof/>
            <w:webHidden/>
          </w:rPr>
          <w:instrText xml:space="preserve"> PAGEREF _Toc171514245 \h </w:instrText>
        </w:r>
        <w:r>
          <w:rPr>
            <w:noProof/>
            <w:webHidden/>
          </w:rPr>
        </w:r>
        <w:r>
          <w:rPr>
            <w:noProof/>
            <w:webHidden/>
          </w:rPr>
          <w:fldChar w:fldCharType="separate"/>
        </w:r>
        <w:r>
          <w:rPr>
            <w:noProof/>
            <w:webHidden/>
          </w:rPr>
          <w:t>39</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46" w:history="1">
        <w:r>
          <w:rPr>
            <w:rStyle w:val="Lienhypertexte"/>
            <w:noProof/>
          </w:rPr>
          <w:t>Conflit d’intérêt personnel</w:t>
        </w:r>
        <w:r>
          <w:rPr>
            <w:noProof/>
            <w:webHidden/>
          </w:rPr>
          <w:tab/>
        </w:r>
        <w:r>
          <w:rPr>
            <w:noProof/>
            <w:webHidden/>
          </w:rPr>
          <w:fldChar w:fldCharType="begin"/>
        </w:r>
        <w:r>
          <w:rPr>
            <w:noProof/>
            <w:webHidden/>
          </w:rPr>
          <w:instrText xml:space="preserve"> PAGEREF _Toc171514246 \h </w:instrText>
        </w:r>
        <w:r>
          <w:rPr>
            <w:noProof/>
            <w:webHidden/>
          </w:rPr>
        </w:r>
        <w:r>
          <w:rPr>
            <w:noProof/>
            <w:webHidden/>
          </w:rPr>
          <w:fldChar w:fldCharType="separate"/>
        </w:r>
        <w:r>
          <w:rPr>
            <w:noProof/>
            <w:webHidden/>
          </w:rPr>
          <w:t>39</w:t>
        </w:r>
        <w:r>
          <w:rPr>
            <w:noProof/>
            <w:webHidden/>
          </w:rPr>
          <w:fldChar w:fldCharType="end"/>
        </w:r>
      </w:hyperlink>
    </w:p>
    <w:p>
      <w:pPr>
        <w:pStyle w:val="TM2"/>
        <w:tabs>
          <w:tab w:val="right" w:leader="dot" w:pos="9062"/>
        </w:tabs>
        <w:rPr>
          <w:rFonts w:eastAsiaTheme="minorEastAsia" w:cstheme="minorBidi"/>
          <w:smallCaps w:val="0"/>
          <w:noProof/>
          <w:sz w:val="22"/>
          <w:szCs w:val="22"/>
          <w:lang w:eastAsia="fr-FR"/>
        </w:rPr>
      </w:pPr>
      <w:hyperlink w:anchor="_Toc171514247" w:history="1">
        <w:r>
          <w:rPr>
            <w:rStyle w:val="Lienhypertexte"/>
            <w:noProof/>
          </w:rPr>
          <w:t>Conflit d’intérêt de l’entreprise</w:t>
        </w:r>
        <w:r>
          <w:rPr>
            <w:noProof/>
            <w:webHidden/>
          </w:rPr>
          <w:tab/>
        </w:r>
        <w:r>
          <w:rPr>
            <w:noProof/>
            <w:webHidden/>
          </w:rPr>
          <w:fldChar w:fldCharType="begin"/>
        </w:r>
        <w:r>
          <w:rPr>
            <w:noProof/>
            <w:webHidden/>
          </w:rPr>
          <w:instrText xml:space="preserve"> PAGEREF _Toc171514247 \h </w:instrText>
        </w:r>
        <w:r>
          <w:rPr>
            <w:noProof/>
            <w:webHidden/>
          </w:rPr>
        </w:r>
        <w:r>
          <w:rPr>
            <w:noProof/>
            <w:webHidden/>
          </w:rPr>
          <w:fldChar w:fldCharType="separate"/>
        </w:r>
        <w:r>
          <w:rPr>
            <w:noProof/>
            <w:webHidden/>
          </w:rPr>
          <w:t>40</w:t>
        </w:r>
        <w:r>
          <w:rPr>
            <w:noProof/>
            <w:webHidden/>
          </w:rPr>
          <w:fldChar w:fldCharType="end"/>
        </w:r>
      </w:hyperlink>
    </w:p>
    <w:p>
      <w:pPr>
        <w:rPr>
          <w:rFonts w:cstheme="minorHAnsi"/>
          <w:b/>
          <w:bCs/>
          <w:iCs/>
          <w:szCs w:val="20"/>
        </w:rPr>
      </w:pPr>
      <w:r>
        <w:rPr>
          <w:rFonts w:cstheme="minorHAnsi"/>
          <w:b/>
          <w:bCs/>
          <w:iCs/>
          <w:szCs w:val="20"/>
        </w:rPr>
        <w:fldChar w:fldCharType="end"/>
      </w:r>
    </w:p>
    <w:p>
      <w:pPr>
        <w:spacing w:before="0" w:after="200" w:line="276" w:lineRule="auto"/>
        <w:jc w:val="left"/>
        <w:rPr>
          <w:rFonts w:cstheme="minorHAnsi"/>
          <w:b/>
          <w:bCs/>
          <w:iCs/>
          <w:szCs w:val="20"/>
        </w:rPr>
      </w:pPr>
      <w:r>
        <w:rPr>
          <w:rFonts w:cstheme="minorHAnsi"/>
          <w:b/>
          <w:bCs/>
          <w:iCs/>
          <w:szCs w:val="20"/>
        </w:rPr>
        <w:br w:type="page"/>
      </w:r>
    </w:p>
    <w:p>
      <w:pPr>
        <w:pStyle w:val="Titre1"/>
        <w:numPr>
          <w:ilvl w:val="0"/>
          <w:numId w:val="0"/>
        </w:numPr>
        <w:ind w:left="283"/>
        <w:jc w:val="center"/>
      </w:pPr>
      <w:bookmarkStart w:id="0" w:name="_Toc171514163"/>
      <w:r>
        <w:t>Chapitre I - Préambule et contexte</w:t>
      </w:r>
      <w:bookmarkEnd w:id="0"/>
    </w:p>
    <w:p>
      <w:pPr>
        <w:pStyle w:val="Titre1"/>
      </w:pPr>
      <w:bookmarkStart w:id="1" w:name="_Toc171514164"/>
      <w:r>
        <w:t>Acheteur</w:t>
      </w:r>
      <w:bookmarkEnd w:id="1"/>
    </w:p>
    <w:p>
      <w:pPr>
        <w:rPr>
          <w:i/>
          <w:lang w:eastAsia="ja-JP"/>
        </w:rPr>
      </w:pPr>
      <w:r>
        <w:rPr>
          <w:i/>
          <w:highlight w:val="yellow"/>
          <w:lang w:eastAsia="ja-JP"/>
        </w:rPr>
        <w:t>Indiquer l’acheteur</w:t>
      </w:r>
    </w:p>
    <w:p>
      <w:pPr>
        <w:pStyle w:val="Titre1"/>
      </w:pPr>
      <w:bookmarkStart w:id="2" w:name="_Toc171514165"/>
      <w:r>
        <w:t>Objet et forme du marché</w:t>
      </w:r>
      <w:bookmarkEnd w:id="2"/>
    </w:p>
    <w:p>
      <w:pPr>
        <w:pStyle w:val="Titre2"/>
      </w:pPr>
      <w:bookmarkStart w:id="3" w:name="_Toc171514166"/>
      <w:r>
        <w:t>Objet du marché</w:t>
      </w:r>
      <w:bookmarkEnd w:id="3"/>
    </w:p>
    <w:p>
      <w:pPr>
        <w:autoSpaceDE w:val="0"/>
        <w:autoSpaceDN w:val="0"/>
        <w:adjustRightInd w:val="0"/>
        <w:spacing w:before="0" w:after="0"/>
        <w:rPr>
          <w:rFonts w:cs="Calibri"/>
          <w:color w:val="000000"/>
          <w:szCs w:val="20"/>
        </w:rPr>
      </w:pPr>
      <w:r>
        <w:rPr>
          <w:rFonts w:cs="Calibri"/>
          <w:color w:val="000000"/>
          <w:szCs w:val="20"/>
        </w:rPr>
        <w:t>Le présent marché a pour objet la labellisation « Services Publics + » de [</w:t>
      </w:r>
      <w:r>
        <w:rPr>
          <w:rFonts w:cs="Calibri"/>
          <w:color w:val="000000"/>
          <w:szCs w:val="20"/>
          <w:highlight w:val="yellow"/>
        </w:rPr>
        <w:t>indiquer le service public concerné]</w:t>
      </w:r>
      <w:r>
        <w:rPr>
          <w:rFonts w:cs="Calibri"/>
          <w:color w:val="000000"/>
          <w:szCs w:val="20"/>
        </w:rPr>
        <w:t xml:space="preserve"> conformément au référentiel des engagements détaillés du Programme « Services Publics + », et au guide du label « Services Publics + », accessibles sur le site de la direction interministérielle de la transformation publique : </w:t>
      </w:r>
    </w:p>
    <w:p>
      <w:pPr>
        <w:autoSpaceDE w:val="0"/>
        <w:autoSpaceDN w:val="0"/>
        <w:adjustRightInd w:val="0"/>
        <w:spacing w:before="0" w:after="0"/>
        <w:rPr>
          <w:rFonts w:cs="Calibri"/>
          <w:color w:val="000000"/>
          <w:szCs w:val="20"/>
        </w:rPr>
      </w:pPr>
      <w:r>
        <w:rPr>
          <w:rStyle w:val="Lienhypertexte"/>
          <w:rFonts w:cs="Calibri"/>
          <w:szCs w:val="20"/>
        </w:rPr>
        <w:t>https://www.plus.transformation.gouv.fr/le-label-services-publics</w:t>
      </w:r>
    </w:p>
    <w:p>
      <w:pPr>
        <w:autoSpaceDE w:val="0"/>
        <w:autoSpaceDN w:val="0"/>
        <w:adjustRightInd w:val="0"/>
        <w:spacing w:before="0" w:after="0"/>
        <w:rPr>
          <w:rFonts w:cs="Calibri"/>
          <w:color w:val="000000"/>
          <w:szCs w:val="20"/>
        </w:rPr>
      </w:pPr>
    </w:p>
    <w:p>
      <w:pPr>
        <w:autoSpaceDE w:val="0"/>
        <w:autoSpaceDN w:val="0"/>
        <w:adjustRightInd w:val="0"/>
        <w:spacing w:before="0" w:after="0"/>
        <w:rPr>
          <w:rFonts w:cs="Calibri"/>
          <w:color w:val="000000"/>
          <w:szCs w:val="20"/>
        </w:rPr>
      </w:pPr>
      <w:r>
        <w:rPr>
          <w:rFonts w:cs="Calibri"/>
          <w:color w:val="000000"/>
          <w:szCs w:val="20"/>
        </w:rPr>
        <w:t>Les prestations se décomposent comme suit :</w:t>
      </w:r>
    </w:p>
    <w:p>
      <w:pPr>
        <w:autoSpaceDE w:val="0"/>
        <w:autoSpaceDN w:val="0"/>
        <w:adjustRightInd w:val="0"/>
        <w:spacing w:before="0" w:after="0"/>
        <w:rPr>
          <w:rFonts w:cs="Calibri"/>
          <w:color w:val="000000"/>
          <w:szCs w:val="20"/>
        </w:rPr>
      </w:pPr>
      <w:r>
        <w:rPr>
          <w:rFonts w:cs="Calibri"/>
          <w:color w:val="000000"/>
          <w:szCs w:val="20"/>
        </w:rPr>
        <w:t xml:space="preserve"> </w:t>
      </w:r>
    </w:p>
    <w:p>
      <w:pPr>
        <w:pStyle w:val="Paragraphedeliste"/>
        <w:numPr>
          <w:ilvl w:val="0"/>
          <w:numId w:val="16"/>
        </w:numPr>
        <w:autoSpaceDE w:val="0"/>
        <w:autoSpaceDN w:val="0"/>
        <w:adjustRightInd w:val="0"/>
        <w:spacing w:before="0" w:after="135"/>
        <w:rPr>
          <w:rFonts w:cs="Calibri"/>
          <w:color w:val="000000"/>
          <w:szCs w:val="20"/>
        </w:rPr>
      </w:pPr>
      <w:r>
        <w:rPr>
          <w:rFonts w:cs="Calibri"/>
          <w:b/>
          <w:bCs/>
          <w:color w:val="000000"/>
          <w:szCs w:val="20"/>
          <w:highlight w:val="yellow"/>
        </w:rPr>
        <w:t>Prestation 1 :</w:t>
      </w:r>
      <w:r>
        <w:rPr>
          <w:rFonts w:cs="Calibri"/>
          <w:b/>
          <w:bCs/>
          <w:color w:val="000000"/>
          <w:szCs w:val="20"/>
        </w:rPr>
        <w:t xml:space="preserve"> </w:t>
      </w:r>
      <w:r>
        <w:rPr>
          <w:rFonts w:cs="Calibri"/>
          <w:color w:val="000000"/>
          <w:szCs w:val="20"/>
        </w:rPr>
        <w:t xml:space="preserve">Prestation d’audit de labellisation de </w:t>
      </w:r>
      <w:r>
        <w:rPr>
          <w:rFonts w:cs="Calibri"/>
          <w:color w:val="000000"/>
          <w:szCs w:val="20"/>
          <w:highlight w:val="yellow"/>
        </w:rPr>
        <w:t xml:space="preserve">[nom du service public], </w:t>
      </w:r>
      <w:r>
        <w:rPr>
          <w:rFonts w:cs="Calibri"/>
          <w:color w:val="000000"/>
          <w:szCs w:val="20"/>
        </w:rPr>
        <w:t xml:space="preserve">candidat à la </w:t>
      </w:r>
      <w:r>
        <w:rPr>
          <w:rFonts w:cs="Calibri"/>
          <w:color w:val="000000"/>
          <w:szCs w:val="20"/>
          <w:highlight w:val="yellow"/>
        </w:rPr>
        <w:t>labellisation initiale ou au renouvellement de label [option à choisir]</w:t>
      </w:r>
      <w:r>
        <w:rPr>
          <w:rFonts w:cs="Calibri"/>
          <w:color w:val="000000"/>
          <w:szCs w:val="20"/>
        </w:rPr>
        <w:t xml:space="preserve"> par rapport au référentiel des engagements détaillés du programme Services Publics +, et conformément aux dispositions du guide du label « Services Publics + » ; </w:t>
      </w:r>
    </w:p>
    <w:p>
      <w:pPr>
        <w:pStyle w:val="Paragraphedeliste"/>
        <w:numPr>
          <w:ilvl w:val="0"/>
          <w:numId w:val="16"/>
        </w:numPr>
        <w:autoSpaceDE w:val="0"/>
        <w:autoSpaceDN w:val="0"/>
        <w:adjustRightInd w:val="0"/>
        <w:spacing w:before="0" w:after="0"/>
        <w:rPr>
          <w:lang w:eastAsia="ja-JP"/>
        </w:rPr>
      </w:pPr>
      <w:r>
        <w:rPr>
          <w:rFonts w:cs="Calibri"/>
          <w:b/>
          <w:bCs/>
          <w:color w:val="000000"/>
          <w:szCs w:val="20"/>
          <w:highlight w:val="yellow"/>
        </w:rPr>
        <w:t>Prestation 2</w:t>
      </w:r>
      <w:r>
        <w:rPr>
          <w:rFonts w:cs="Calibri"/>
          <w:b/>
          <w:bCs/>
          <w:color w:val="000000"/>
          <w:szCs w:val="20"/>
        </w:rPr>
        <w:t xml:space="preserve"> : </w:t>
      </w:r>
      <w:r>
        <w:rPr>
          <w:rFonts w:cs="Calibri"/>
          <w:color w:val="000000"/>
          <w:szCs w:val="20"/>
        </w:rPr>
        <w:t xml:space="preserve">Prestation de formation d’auditeurs internes parmi les agents de </w:t>
      </w:r>
      <w:r>
        <w:rPr>
          <w:rFonts w:cs="Calibri"/>
          <w:color w:val="000000"/>
          <w:szCs w:val="20"/>
          <w:highlight w:val="yellow"/>
        </w:rPr>
        <w:t>[nom du service public]</w:t>
      </w:r>
      <w:r>
        <w:rPr>
          <w:rFonts w:cs="Calibri"/>
          <w:color w:val="000000"/>
          <w:szCs w:val="20"/>
        </w:rPr>
        <w:t xml:space="preserve"> sur le dispositif de labellisation « Services Publics + » </w:t>
      </w:r>
    </w:p>
    <w:p>
      <w:pPr>
        <w:pStyle w:val="Titre2"/>
      </w:pPr>
      <w:bookmarkStart w:id="4" w:name="_Toc171514167"/>
      <w:r>
        <w:t>Procédure</w:t>
      </w:r>
      <w:bookmarkEnd w:id="4"/>
      <w:r>
        <w:t xml:space="preserve"> </w:t>
      </w:r>
    </w:p>
    <w:p>
      <w:pPr>
        <w:rPr>
          <w:lang w:eastAsia="ja-JP"/>
        </w:rPr>
      </w:pPr>
      <w:r>
        <w:rPr>
          <w:lang w:eastAsia="ja-JP"/>
        </w:rPr>
        <w:t xml:space="preserve">Le présent marché de service est conclu selon une procédure </w:t>
      </w:r>
      <w:r>
        <w:rPr>
          <w:highlight w:val="yellow"/>
          <w:lang w:eastAsia="ja-JP"/>
        </w:rPr>
        <w:t>[appel d’offres ouvert, procédure adaptée, etc.]</w:t>
      </w:r>
      <w:r>
        <w:rPr>
          <w:lang w:eastAsia="ja-JP"/>
        </w:rPr>
        <w:t>.</w:t>
      </w:r>
    </w:p>
    <w:p>
      <w:pPr>
        <w:pStyle w:val="Titre2"/>
      </w:pPr>
      <w:bookmarkStart w:id="5" w:name="_Toc171514168"/>
      <w:r>
        <w:t>Forme du marché</w:t>
      </w:r>
      <w:bookmarkEnd w:id="5"/>
      <w:r>
        <w:t xml:space="preserve"> </w:t>
      </w:r>
    </w:p>
    <w:p>
      <w:pPr>
        <w:rPr>
          <w:lang w:eastAsia="ja-JP"/>
        </w:rPr>
      </w:pPr>
      <w:r>
        <w:rPr>
          <w:highlight w:val="yellow"/>
          <w:lang w:eastAsia="ja-JP"/>
        </w:rPr>
        <w:t>Proposition :</w:t>
      </w:r>
      <w:r>
        <w:rPr>
          <w:lang w:eastAsia="ja-JP"/>
        </w:rPr>
        <w:t xml:space="preserve"> Il s’agit d’un marché mono attributaire exécuté à bons de commande conformément aux articles R2162-1, R.2162-13 et R.2162-14 du code de la commande publique.</w:t>
      </w:r>
    </w:p>
    <w:p>
      <w:pPr>
        <w:rPr>
          <w:lang w:eastAsia="ja-JP"/>
        </w:rPr>
      </w:pPr>
      <w:r>
        <w:rPr>
          <w:lang w:eastAsia="ja-JP"/>
        </w:rPr>
        <w:t>Les bons de commande seront passés en application des articles R2162-13 et R2162-14 du code de la commande publique.</w:t>
      </w:r>
    </w:p>
    <w:p>
      <w:pPr>
        <w:rPr>
          <w:lang w:eastAsia="ja-JP"/>
        </w:rPr>
      </w:pPr>
      <w:r>
        <w:rPr>
          <w:lang w:eastAsia="ja-JP"/>
        </w:rPr>
        <w:t xml:space="preserve">Les bons de commande pourront être émis tout au long de la durée de validité du présent marché et leur durée d’exécution ne pourra excéder de </w:t>
      </w:r>
      <w:r>
        <w:rPr>
          <w:highlight w:val="yellow"/>
          <w:lang w:eastAsia="ja-JP"/>
        </w:rPr>
        <w:t>trois</w:t>
      </w:r>
      <w:r>
        <w:rPr>
          <w:lang w:eastAsia="ja-JP"/>
        </w:rPr>
        <w:t xml:space="preserve"> mois la date d’expiration du marché.</w:t>
      </w:r>
    </w:p>
    <w:p>
      <w:pPr>
        <w:rPr>
          <w:lang w:eastAsia="ja-JP"/>
        </w:rPr>
      </w:pPr>
      <w:r>
        <w:rPr>
          <w:lang w:eastAsia="ja-JP"/>
        </w:rPr>
        <w:t xml:space="preserve">Le présent marché est estimé à </w:t>
      </w:r>
      <w:r>
        <w:rPr>
          <w:highlight w:val="yellow"/>
          <w:lang w:eastAsia="ja-JP"/>
        </w:rPr>
        <w:t>X€</w:t>
      </w:r>
      <w:r>
        <w:rPr>
          <w:lang w:eastAsia="ja-JP"/>
        </w:rPr>
        <w:t xml:space="preserve"> sur une période </w:t>
      </w:r>
      <w:r>
        <w:rPr>
          <w:highlight w:val="yellow"/>
          <w:lang w:eastAsia="ja-JP"/>
        </w:rPr>
        <w:t>36</w:t>
      </w:r>
      <w:r>
        <w:rPr>
          <w:lang w:eastAsia="ja-JP"/>
        </w:rPr>
        <w:t xml:space="preserve"> mois.</w:t>
      </w:r>
    </w:p>
    <w:p>
      <w:r>
        <w:rPr>
          <w:lang w:eastAsia="ja-JP"/>
        </w:rPr>
        <w:t xml:space="preserve">Le marché est passé </w:t>
      </w:r>
      <w:r>
        <w:rPr>
          <w:highlight w:val="yellow"/>
          <w:lang w:eastAsia="ja-JP"/>
        </w:rPr>
        <w:t>[avec ou sans minimum]</w:t>
      </w:r>
      <w:r>
        <w:rPr>
          <w:lang w:eastAsia="ja-JP"/>
        </w:rPr>
        <w:t xml:space="preserve"> et avec un maximum de </w:t>
      </w:r>
      <w:r>
        <w:rPr>
          <w:highlight w:val="yellow"/>
          <w:lang w:eastAsia="ja-JP"/>
        </w:rPr>
        <w:t>X€</w:t>
      </w:r>
      <w:r>
        <w:rPr>
          <w:lang w:eastAsia="ja-JP"/>
        </w:rPr>
        <w:t xml:space="preserve"> sur une période </w:t>
      </w:r>
      <w:r>
        <w:rPr>
          <w:highlight w:val="yellow"/>
          <w:lang w:eastAsia="ja-JP"/>
        </w:rPr>
        <w:t>de 36</w:t>
      </w:r>
      <w:r>
        <w:rPr>
          <w:lang w:eastAsia="ja-JP"/>
        </w:rPr>
        <w:t xml:space="preserve"> </w:t>
      </w:r>
      <w:r>
        <w:rPr>
          <w:highlight w:val="yellow"/>
          <w:lang w:eastAsia="ja-JP"/>
        </w:rPr>
        <w:t>mois</w:t>
      </w:r>
      <w:r>
        <w:rPr>
          <w:lang w:eastAsia="ja-JP"/>
        </w:rPr>
        <w:t>. Le montant maximum indiqué ne correspond pas à un engagement de commandes. Le marché cessera automatiquement de produire ses effets et deviendra caduc si ce montant maximum est atteint, quelle que soit la durée du marché prévue initialement.</w:t>
      </w:r>
    </w:p>
    <w:p>
      <w:pPr>
        <w:pStyle w:val="Titre2"/>
      </w:pPr>
      <w:bookmarkStart w:id="6" w:name="_Toc171514169"/>
      <w:r>
        <w:t>Allotissement</w:t>
      </w:r>
      <w:bookmarkEnd w:id="6"/>
    </w:p>
    <w:p>
      <w:pPr>
        <w:rPr>
          <w:lang w:eastAsia="ja-JP"/>
        </w:rPr>
      </w:pPr>
      <w:r>
        <w:rPr>
          <w:lang w:eastAsia="ja-JP"/>
        </w:rPr>
        <w:t>Conformément à l’article L.2113-10 du code de la commande publique, l’objet de ce marché ne se prête pas à l’allotissement car il ne permet pas l’identification de prestations distinctes.</w:t>
      </w:r>
    </w:p>
    <w:p>
      <w:pPr>
        <w:pStyle w:val="Titre1"/>
      </w:pPr>
      <w:bookmarkStart w:id="7" w:name="_Toc171514170"/>
      <w:r>
        <w:t>Durée du marché</w:t>
      </w:r>
      <w:bookmarkEnd w:id="7"/>
    </w:p>
    <w:p>
      <w:pPr>
        <w:rPr>
          <w:lang w:eastAsia="ja-JP"/>
        </w:rPr>
      </w:pPr>
      <w:r>
        <w:rPr>
          <w:highlight w:val="yellow"/>
          <w:lang w:eastAsia="ja-JP"/>
        </w:rPr>
        <w:t>[La démarche globale s’étend sur 3 ans. Deux possibilités au choix : prévoir 3 ans fermes ou bien 1 an ferme et reconductible 2x1 an tacitement]</w:t>
      </w:r>
    </w:p>
    <w:p>
      <w:pPr>
        <w:rPr>
          <w:lang w:eastAsia="ja-JP"/>
        </w:rPr>
      </w:pPr>
      <w:r>
        <w:rPr>
          <w:highlight w:val="yellow"/>
          <w:lang w:eastAsia="ja-JP"/>
        </w:rPr>
        <w:t>Option 1 :</w:t>
      </w:r>
    </w:p>
    <w:p>
      <w:pPr>
        <w:rPr>
          <w:lang w:eastAsia="ja-JP"/>
        </w:rPr>
      </w:pPr>
      <w:r>
        <w:rPr>
          <w:lang w:eastAsia="ja-JP"/>
        </w:rPr>
        <w:t>Le marché est conclu pour une durée ferme de 3 ans (36 mois), à compter de sa date de notification. Il n’est pas reconductible.</w:t>
      </w:r>
    </w:p>
    <w:p>
      <w:pPr>
        <w:rPr>
          <w:lang w:eastAsia="ja-JP"/>
        </w:rPr>
      </w:pPr>
      <w:r>
        <w:rPr>
          <w:highlight w:val="yellow"/>
          <w:lang w:eastAsia="ja-JP"/>
        </w:rPr>
        <w:t>Option 2 :</w:t>
      </w:r>
    </w:p>
    <w:p>
      <w:pPr>
        <w:rPr>
          <w:lang w:eastAsia="ja-JP"/>
        </w:rPr>
      </w:pPr>
      <w:r>
        <w:rPr>
          <w:lang w:eastAsia="ja-JP"/>
        </w:rPr>
        <w:t>Le marché est conclu pour une durée ferme de 12 mois, à compter de sa date de notification.</w:t>
      </w:r>
    </w:p>
    <w:p>
      <w:pPr>
        <w:rPr>
          <w:lang w:eastAsia="ja-JP"/>
        </w:rPr>
      </w:pPr>
      <w:r>
        <w:rPr>
          <w:lang w:eastAsia="ja-JP"/>
        </w:rPr>
        <w:t xml:space="preserve">Le marché est reconductible : </w:t>
      </w:r>
      <w:r>
        <w:rPr>
          <w:highlight w:val="yellow"/>
          <w:lang w:eastAsia="ja-JP"/>
        </w:rPr>
        <w:t>indiquer les modalités de reconduction</w:t>
      </w:r>
      <w:r>
        <w:rPr>
          <w:lang w:eastAsia="ja-JP"/>
        </w:rPr>
        <w:t xml:space="preserve">, sans que sa durée totale puisse excéder </w:t>
      </w:r>
      <w:r>
        <w:rPr>
          <w:highlight w:val="yellow"/>
          <w:lang w:eastAsia="ja-JP"/>
        </w:rPr>
        <w:t>36</w:t>
      </w:r>
      <w:r>
        <w:rPr>
          <w:lang w:eastAsia="ja-JP"/>
        </w:rPr>
        <w:t xml:space="preserve"> mois.</w:t>
      </w:r>
    </w:p>
    <w:p>
      <w:pPr>
        <w:rPr>
          <w:lang w:eastAsia="ja-JP"/>
        </w:rPr>
      </w:pPr>
      <w:r>
        <w:rPr>
          <w:lang w:eastAsia="ja-JP"/>
        </w:rPr>
        <w:t xml:space="preserve">Dans le cas d'une non-reconduction, l’acheteur notifie sa décision au titulaire 2 mois avant la date de fin de validité du marché. </w:t>
      </w:r>
    </w:p>
    <w:p>
      <w:pPr>
        <w:rPr>
          <w:lang w:eastAsia="ja-JP"/>
        </w:rPr>
      </w:pPr>
      <w:r>
        <w:rPr>
          <w:lang w:eastAsia="ja-JP"/>
        </w:rPr>
        <w:t>Le titulaire ne peut refuser la reconduction de l’accord cadre.</w:t>
      </w:r>
    </w:p>
    <w:p>
      <w:pPr>
        <w:pStyle w:val="Titre1"/>
      </w:pPr>
      <w:bookmarkStart w:id="8" w:name="_Toc171514171"/>
      <w:r>
        <w:t>Lieu d’exécution</w:t>
      </w:r>
      <w:bookmarkEnd w:id="8"/>
    </w:p>
    <w:p>
      <w:pPr>
        <w:rPr>
          <w:i/>
          <w:lang w:eastAsia="ja-JP"/>
        </w:rPr>
      </w:pPr>
      <w:r>
        <w:rPr>
          <w:i/>
          <w:highlight w:val="yellow"/>
          <w:lang w:eastAsia="ja-JP"/>
        </w:rPr>
        <w:t>Indiquer le lieu d’exécution des prestations</w:t>
      </w:r>
      <w:r>
        <w:rPr>
          <w:i/>
          <w:lang w:eastAsia="ja-JP"/>
        </w:rPr>
        <w:t xml:space="preserve">. </w:t>
      </w:r>
    </w:p>
    <w:p>
      <w:pPr>
        <w:pStyle w:val="Paragraphedeliste"/>
        <w:numPr>
          <w:ilvl w:val="0"/>
          <w:numId w:val="14"/>
        </w:numPr>
        <w:rPr>
          <w:i/>
          <w:highlight w:val="yellow"/>
          <w:lang w:eastAsia="ja-JP"/>
        </w:rPr>
      </w:pPr>
      <w:r>
        <w:rPr>
          <w:i/>
          <w:lang w:eastAsia="ja-JP"/>
        </w:rPr>
        <w:t xml:space="preserve">CAS 1 - Service public central et ses services publics locaux : </w:t>
      </w:r>
      <w:r>
        <w:rPr>
          <w:i/>
          <w:highlight w:val="yellow"/>
          <w:lang w:eastAsia="ja-JP"/>
        </w:rPr>
        <w:t>renvoyer en annexe à la liste des services publics (central et locaux) éligibles à la labellisation rattachés et susceptibles d’être auditées sur le cycle de 3 ans (service public central et √n services publics locaux éligibles au moins audités chaque année) en précisant les effectifs pour chaque service public cité (central et locaux)</w:t>
      </w:r>
    </w:p>
    <w:p>
      <w:pPr>
        <w:pStyle w:val="Paragraphedeliste"/>
        <w:numPr>
          <w:ilvl w:val="0"/>
          <w:numId w:val="14"/>
        </w:numPr>
        <w:jc w:val="left"/>
        <w:rPr>
          <w:i/>
          <w:lang w:eastAsia="ja-JP"/>
        </w:rPr>
      </w:pPr>
      <w:r>
        <w:rPr>
          <w:i/>
          <w:lang w:eastAsia="ja-JP"/>
        </w:rPr>
        <w:t xml:space="preserve">CAS 2 - Service public local : </w:t>
      </w:r>
      <w:r>
        <w:rPr>
          <w:i/>
          <w:highlight w:val="yellow"/>
          <w:lang w:eastAsia="ja-JP"/>
        </w:rPr>
        <w:t>lister l’ensemble des sites physiques (site principal et sites annexes)</w:t>
      </w:r>
      <w:r>
        <w:rPr>
          <w:i/>
          <w:lang w:eastAsia="ja-JP"/>
        </w:rPr>
        <w:t xml:space="preserve"> </w:t>
      </w:r>
      <w:r>
        <w:rPr>
          <w:i/>
          <w:highlight w:val="yellow"/>
          <w:lang w:eastAsia="ja-JP"/>
        </w:rPr>
        <w:t xml:space="preserve">en précisant le nombre d’agents pour chaque site cité. </w:t>
      </w:r>
      <w:r>
        <w:rPr>
          <w:i/>
          <w:lang w:eastAsia="ja-JP"/>
        </w:rPr>
        <w:br/>
      </w:r>
      <w:r>
        <w:rPr>
          <w:i/>
          <w:highlight w:val="yellow"/>
          <w:lang w:eastAsia="ja-JP"/>
        </w:rPr>
        <w:t>Note : pour les collectivités territoriales, lister l’ensemble des sites physiques (site principal et sites annexes) inclus dans le périmètre de labellisation choisi (périmètre socle et périmètre optionnel le cas échéant)</w:t>
      </w:r>
    </w:p>
    <w:p>
      <w:pPr>
        <w:pStyle w:val="Titre1"/>
      </w:pPr>
      <w:bookmarkStart w:id="9" w:name="_Toc171514172"/>
      <w:r>
        <w:t>Pièces contractuelles</w:t>
      </w:r>
      <w:bookmarkEnd w:id="9"/>
    </w:p>
    <w:p>
      <w:pPr>
        <w:rPr>
          <w:lang w:eastAsia="ja-JP"/>
        </w:rPr>
      </w:pPr>
      <w:r>
        <w:rPr>
          <w:lang w:eastAsia="ja-JP"/>
        </w:rPr>
        <w:t>Les pièces constitutives du marché sont, par ordre de priorité décroissante :</w:t>
      </w:r>
    </w:p>
    <w:p>
      <w:pPr>
        <w:pStyle w:val="Paragraphedeliste"/>
        <w:numPr>
          <w:ilvl w:val="0"/>
          <w:numId w:val="11"/>
        </w:numPr>
        <w:rPr>
          <w:lang w:eastAsia="ja-JP"/>
        </w:rPr>
      </w:pPr>
      <w:r>
        <w:rPr>
          <w:lang w:eastAsia="ja-JP"/>
        </w:rPr>
        <w:t>L'acte d'engagement (ATTRI1) et son annexe financière</w:t>
      </w:r>
    </w:p>
    <w:p>
      <w:pPr>
        <w:pStyle w:val="Paragraphedeliste"/>
        <w:numPr>
          <w:ilvl w:val="0"/>
          <w:numId w:val="11"/>
        </w:numPr>
        <w:rPr>
          <w:lang w:eastAsia="ja-JP"/>
        </w:rPr>
      </w:pPr>
      <w:r>
        <w:rPr>
          <w:lang w:eastAsia="ja-JP"/>
        </w:rPr>
        <w:t>Le présent cahier des clauses particulières (CCP) et ses annexes :</w:t>
      </w:r>
    </w:p>
    <w:p>
      <w:pPr>
        <w:pStyle w:val="Paragraphedeliste"/>
        <w:numPr>
          <w:ilvl w:val="1"/>
          <w:numId w:val="11"/>
        </w:numPr>
        <w:rPr>
          <w:lang w:eastAsia="ja-JP"/>
        </w:rPr>
      </w:pPr>
      <w:r>
        <w:rPr>
          <w:lang w:eastAsia="ja-JP"/>
        </w:rPr>
        <w:t>Annexe de formulaire RGPD</w:t>
      </w:r>
    </w:p>
    <w:p>
      <w:pPr>
        <w:pStyle w:val="Paragraphedeliste"/>
        <w:numPr>
          <w:ilvl w:val="1"/>
          <w:numId w:val="11"/>
        </w:numPr>
        <w:rPr>
          <w:lang w:eastAsia="ja-JP"/>
        </w:rPr>
      </w:pPr>
      <w:r>
        <w:rPr>
          <w:lang w:eastAsia="ja-JP"/>
        </w:rPr>
        <w:t>Annexe de déclaration de conflit d’intérêt potentiel</w:t>
      </w:r>
    </w:p>
    <w:p>
      <w:pPr>
        <w:pStyle w:val="Paragraphedeliste"/>
        <w:numPr>
          <w:ilvl w:val="0"/>
          <w:numId w:val="11"/>
        </w:numPr>
        <w:rPr>
          <w:lang w:eastAsia="ja-JP"/>
        </w:rPr>
      </w:pPr>
      <w:r>
        <w:rPr>
          <w:lang w:eastAsia="ja-JP"/>
        </w:rPr>
        <w:t>Le cahier des clauses administratives générales applicables aux marchés publics de prestations intellectuelles approuvé le 30 mars 2021</w:t>
      </w:r>
    </w:p>
    <w:p>
      <w:pPr>
        <w:pStyle w:val="Paragraphedeliste"/>
        <w:numPr>
          <w:ilvl w:val="0"/>
          <w:numId w:val="11"/>
        </w:numPr>
        <w:rPr>
          <w:lang w:eastAsia="ja-JP"/>
        </w:rPr>
      </w:pPr>
      <w:r>
        <w:rPr>
          <w:lang w:eastAsia="ja-JP"/>
        </w:rPr>
        <w:t>Le cahier des clauses simplifiées de cybersécurité approuvé par l'arrêté du 27 septembre 2018</w:t>
      </w:r>
    </w:p>
    <w:p>
      <w:pPr>
        <w:pStyle w:val="Paragraphedeliste"/>
        <w:numPr>
          <w:ilvl w:val="0"/>
          <w:numId w:val="11"/>
        </w:numPr>
        <w:rPr>
          <w:lang w:eastAsia="ja-JP"/>
        </w:rPr>
      </w:pPr>
      <w:r>
        <w:rPr>
          <w:lang w:eastAsia="ja-JP"/>
        </w:rPr>
        <w:t>L'offre technique du titulaire et la/les charte(s) déontologique(s) associées conforme(nt) aux exigences du marché</w:t>
      </w:r>
    </w:p>
    <w:p>
      <w:pPr>
        <w:pStyle w:val="Paragraphedeliste"/>
        <w:numPr>
          <w:ilvl w:val="0"/>
          <w:numId w:val="11"/>
        </w:numPr>
        <w:rPr>
          <w:lang w:eastAsia="ja-JP"/>
        </w:rPr>
      </w:pPr>
      <w:r>
        <w:rPr>
          <w:lang w:eastAsia="ja-JP"/>
        </w:rPr>
        <w:t>Le cas échéant, les actes spéciaux de sous-traitance et leurs actes modificatifs postérieurs à la notification du marché</w:t>
      </w:r>
    </w:p>
    <w:p>
      <w:pPr>
        <w:rPr>
          <w:rFonts w:eastAsia="MS PMincho"/>
          <w:b/>
          <w:bCs/>
          <w:caps/>
          <w:kern w:val="22"/>
          <w:szCs w:val="48"/>
          <w:lang w:eastAsia="ja-JP"/>
        </w:rPr>
      </w:pPr>
      <w:r>
        <w:rPr>
          <w:lang w:eastAsia="ja-JP"/>
        </w:rPr>
        <w:t>Toute clause figurant dans les catalogues, documents commerciaux ou conditions générales ou particulières de vente du titulaire sont réputées non écrites pour l’exécution du présent marché et ne lui sont pas opposables.</w:t>
      </w:r>
    </w:p>
    <w:p>
      <w:pPr>
        <w:pStyle w:val="Titre1"/>
        <w:numPr>
          <w:ilvl w:val="0"/>
          <w:numId w:val="0"/>
        </w:numPr>
        <w:ind w:left="283"/>
        <w:jc w:val="center"/>
      </w:pPr>
      <w:bookmarkStart w:id="10" w:name="_Toc171514173"/>
      <w:r>
        <w:t>Chapitre II – Prestations attendues</w:t>
      </w:r>
      <w:bookmarkEnd w:id="10"/>
    </w:p>
    <w:p>
      <w:pPr>
        <w:pStyle w:val="Corpsdetexte"/>
        <w:rPr>
          <w:b/>
          <w:i/>
          <w:highlight w:val="yellow"/>
          <w:lang w:eastAsia="ja-JP"/>
        </w:rPr>
      </w:pPr>
      <w:r>
        <w:rPr>
          <w:b/>
          <w:i/>
          <w:lang w:eastAsia="ja-JP"/>
        </w:rPr>
        <w:t>[</w:t>
      </w:r>
      <w:r>
        <w:rPr>
          <w:b/>
          <w:i/>
          <w:highlight w:val="yellow"/>
          <w:lang w:eastAsia="ja-JP"/>
        </w:rPr>
        <w:t xml:space="preserve">Pour aide à la rédaction, le présent cahier des charges propose deux types de prestations : </w:t>
      </w:r>
    </w:p>
    <w:p>
      <w:pPr>
        <w:pStyle w:val="Corpsdetexte"/>
        <w:numPr>
          <w:ilvl w:val="0"/>
          <w:numId w:val="16"/>
        </w:numPr>
        <w:rPr>
          <w:b/>
          <w:i/>
          <w:highlight w:val="yellow"/>
          <w:lang w:eastAsia="ja-JP"/>
        </w:rPr>
      </w:pPr>
      <w:r>
        <w:rPr>
          <w:b/>
          <w:i/>
          <w:highlight w:val="yellow"/>
          <w:lang w:eastAsia="ja-JP"/>
        </w:rPr>
        <w:t>Prestation d’audit, avec 2 cas possibles. Il revient au rédacteur de choisir le cas adapté.</w:t>
      </w:r>
    </w:p>
    <w:p>
      <w:pPr>
        <w:pStyle w:val="Corpsdetexte"/>
        <w:numPr>
          <w:ilvl w:val="0"/>
          <w:numId w:val="16"/>
        </w:numPr>
        <w:rPr>
          <w:b/>
          <w:i/>
          <w:lang w:eastAsia="ja-JP"/>
        </w:rPr>
      </w:pPr>
      <w:r>
        <w:rPr>
          <w:b/>
          <w:i/>
          <w:highlight w:val="yellow"/>
          <w:lang w:eastAsia="ja-JP"/>
        </w:rPr>
        <w:t>Prestation de formation. Il revient au rédacteur de la conserver si pertinent</w:t>
      </w:r>
      <w:r>
        <w:rPr>
          <w:b/>
          <w:i/>
          <w:lang w:eastAsia="ja-JP"/>
        </w:rPr>
        <w:t>.]</w:t>
      </w:r>
    </w:p>
    <w:p>
      <w:pPr>
        <w:autoSpaceDE w:val="0"/>
        <w:autoSpaceDN w:val="0"/>
        <w:adjustRightInd w:val="0"/>
        <w:spacing w:before="0" w:after="0"/>
        <w:rPr>
          <w:rFonts w:cs="Marianne"/>
          <w:color w:val="000000"/>
          <w:szCs w:val="20"/>
        </w:rPr>
      </w:pPr>
      <w:r>
        <w:rPr>
          <w:rFonts w:cs="Marianne"/>
          <w:color w:val="000000"/>
          <w:szCs w:val="20"/>
        </w:rPr>
        <w:t>L’arrêté du 31 août 2023 portant création du label « Services Publics + » prévoit son attribution par des organismes de certification préalablement habilités par la commission nationale du label « Services Publics + » (</w:t>
      </w:r>
      <w:r>
        <w:rPr>
          <w:rFonts w:cs="Marianne"/>
          <w:i/>
          <w:iCs/>
          <w:color w:val="000000"/>
          <w:szCs w:val="20"/>
        </w:rPr>
        <w:t>articles 4 et 5 de l’arrêté</w:t>
      </w:r>
      <w:r>
        <w:rPr>
          <w:rFonts w:cs="Marianne"/>
          <w:color w:val="000000"/>
          <w:szCs w:val="20"/>
        </w:rPr>
        <w:t xml:space="preserve">). </w:t>
      </w:r>
    </w:p>
    <w:p>
      <w:pPr>
        <w:rPr>
          <w:lang w:eastAsia="ja-JP"/>
        </w:rPr>
      </w:pPr>
      <w:r>
        <w:rPr>
          <w:rFonts w:cs="Marianne"/>
          <w:b/>
          <w:bCs/>
          <w:color w:val="000000"/>
          <w:szCs w:val="20"/>
        </w:rPr>
        <w:t xml:space="preserve">Seuls les organismes de certification habilités </w:t>
      </w:r>
      <w:r>
        <w:rPr>
          <w:rFonts w:cs="Marianne"/>
          <w:color w:val="000000"/>
          <w:szCs w:val="20"/>
        </w:rPr>
        <w:t xml:space="preserve">par la commission nationale du label « Services Publics + » présidée par la Direction interministérielle à la transformation publique (DITP), </w:t>
      </w:r>
      <w:r>
        <w:rPr>
          <w:rFonts w:cs="Marianne"/>
          <w:b/>
          <w:bCs/>
          <w:color w:val="000000"/>
          <w:szCs w:val="20"/>
        </w:rPr>
        <w:t xml:space="preserve">sont autorisés à organiser les étapes de labellisation et délivrer les attestations de labellisation et à réponse à cette procédure </w:t>
      </w:r>
      <w:r>
        <w:rPr>
          <w:highlight w:val="yellow"/>
          <w:lang w:eastAsia="ja-JP"/>
        </w:rPr>
        <w:t>[appel d’offres ouvert, procédure adaptée, etc.]</w:t>
      </w:r>
      <w:r>
        <w:rPr>
          <w:lang w:eastAsia="ja-JP"/>
        </w:rPr>
        <w:t>.</w:t>
      </w:r>
    </w:p>
    <w:p>
      <w:pPr>
        <w:pStyle w:val="Corpsdetexte"/>
        <w:ind w:left="360"/>
        <w:rPr>
          <w:b/>
          <w:i/>
          <w:lang w:eastAsia="ja-JP"/>
        </w:rPr>
      </w:pPr>
    </w:p>
    <w:p>
      <w:pPr>
        <w:pStyle w:val="Corpsdetexte"/>
        <w:numPr>
          <w:ilvl w:val="0"/>
          <w:numId w:val="17"/>
        </w:numPr>
        <w:rPr>
          <w:b/>
          <w:i/>
          <w:highlight w:val="yellow"/>
          <w:u w:val="single"/>
          <w:lang w:eastAsia="ja-JP"/>
        </w:rPr>
      </w:pPr>
      <w:r>
        <w:rPr>
          <w:b/>
          <w:i/>
          <w:lang w:eastAsia="ja-JP"/>
        </w:rPr>
        <w:t xml:space="preserve">PRESTATION D’AUDIT </w:t>
      </w:r>
      <w:r>
        <w:rPr>
          <w:b/>
          <w:i/>
          <w:highlight w:val="yellow"/>
          <w:u w:val="single"/>
          <w:lang w:eastAsia="ja-JP"/>
        </w:rPr>
        <w:t>(à préciser : audit initial + suivi OU renouvellement + suivi)</w:t>
      </w:r>
    </w:p>
    <w:p>
      <w:pPr>
        <w:pStyle w:val="Corpsdetexte"/>
        <w:rPr>
          <w:b/>
          <w:bCs/>
          <w:i/>
          <w:u w:val="single"/>
          <w:lang w:eastAsia="ja-JP"/>
        </w:rPr>
      </w:pPr>
      <w:r>
        <w:rPr>
          <w:b/>
          <w:bCs/>
          <w:i/>
          <w:u w:val="single"/>
          <w:lang w:eastAsia="ja-JP"/>
        </w:rPr>
        <w:t xml:space="preserve">CAS 1 – Service public central et ses services publics locaux  </w:t>
      </w:r>
    </w:p>
    <w:p>
      <w:pPr>
        <w:pStyle w:val="Corpsdetexte"/>
        <w:ind w:left="360"/>
        <w:rPr>
          <w:i/>
          <w:lang w:eastAsia="ja-JP"/>
        </w:rPr>
      </w:pPr>
      <w:r>
        <w:rPr>
          <w:i/>
          <w:lang w:eastAsia="ja-JP"/>
        </w:rPr>
        <w:t xml:space="preserve">Sur un cycle de 3 ans : </w:t>
      </w:r>
    </w:p>
    <w:p>
      <w:pPr>
        <w:pStyle w:val="Corpsdetexte"/>
        <w:numPr>
          <w:ilvl w:val="0"/>
          <w:numId w:val="15"/>
        </w:numPr>
        <w:ind w:left="1080"/>
        <w:rPr>
          <w:i/>
          <w:lang w:eastAsia="ja-JP"/>
        </w:rPr>
      </w:pPr>
      <w:r>
        <w:rPr>
          <w:i/>
          <w:highlight w:val="yellow"/>
          <w:lang w:eastAsia="ja-JP"/>
        </w:rPr>
        <w:t>Audit initial ou audit de renouvellement pour [√n au moins</w:t>
      </w:r>
      <w:r>
        <w:rPr>
          <w:i/>
          <w:lang w:eastAsia="ja-JP"/>
        </w:rPr>
        <w:t xml:space="preserve">] services publics locaux éligibles chaque année, soit </w:t>
      </w:r>
      <w:r>
        <w:rPr>
          <w:i/>
          <w:highlight w:val="yellow"/>
          <w:lang w:eastAsia="ja-JP"/>
        </w:rPr>
        <w:t>3 x [√n au moins]</w:t>
      </w:r>
      <w:r>
        <w:rPr>
          <w:i/>
          <w:lang w:eastAsia="ja-JP"/>
        </w:rPr>
        <w:t xml:space="preserve"> services publics locaux éligibles</w:t>
      </w:r>
      <w:r>
        <w:rPr>
          <w:rStyle w:val="Appelnotedebasdep"/>
          <w:i/>
          <w:lang w:eastAsia="ja-JP"/>
        </w:rPr>
        <w:footnoteReference w:id="1"/>
      </w:r>
      <w:r>
        <w:rPr>
          <w:i/>
          <w:lang w:eastAsia="ja-JP"/>
        </w:rPr>
        <w:t xml:space="preserve"> sur 3 ans au moins</w:t>
      </w:r>
    </w:p>
    <w:p>
      <w:pPr>
        <w:pStyle w:val="Corpsdetexte"/>
        <w:numPr>
          <w:ilvl w:val="0"/>
          <w:numId w:val="15"/>
        </w:numPr>
        <w:ind w:left="1080"/>
        <w:rPr>
          <w:i/>
          <w:lang w:eastAsia="ja-JP"/>
        </w:rPr>
      </w:pPr>
      <w:r>
        <w:rPr>
          <w:i/>
          <w:lang w:eastAsia="ja-JP"/>
        </w:rPr>
        <w:t>Audit du service public central chaque année</w:t>
      </w:r>
    </w:p>
    <w:p>
      <w:pPr>
        <w:pStyle w:val="Corpsdetexte"/>
        <w:rPr>
          <w:b/>
          <w:bCs/>
          <w:i/>
          <w:u w:val="single"/>
          <w:lang w:eastAsia="ja-JP"/>
        </w:rPr>
      </w:pPr>
      <w:r>
        <w:rPr>
          <w:b/>
          <w:bCs/>
          <w:i/>
          <w:u w:val="single"/>
          <w:lang w:eastAsia="ja-JP"/>
        </w:rPr>
        <w:t xml:space="preserve">CAS 2 – Service public local </w:t>
      </w:r>
    </w:p>
    <w:p>
      <w:pPr>
        <w:pStyle w:val="Corpsdetexte"/>
        <w:ind w:left="360"/>
        <w:rPr>
          <w:i/>
          <w:lang w:eastAsia="ja-JP"/>
        </w:rPr>
      </w:pPr>
      <w:r>
        <w:rPr>
          <w:i/>
          <w:lang w:eastAsia="ja-JP"/>
        </w:rPr>
        <w:t>Deux audits sur un cycle de 3 ans :</w:t>
      </w:r>
    </w:p>
    <w:p>
      <w:pPr>
        <w:pStyle w:val="Corpsdetexte"/>
        <w:numPr>
          <w:ilvl w:val="0"/>
          <w:numId w:val="13"/>
        </w:numPr>
        <w:ind w:left="1080"/>
        <w:rPr>
          <w:i/>
          <w:lang w:eastAsia="ja-JP"/>
        </w:rPr>
      </w:pPr>
      <w:r>
        <w:rPr>
          <w:i/>
          <w:highlight w:val="yellow"/>
          <w:lang w:eastAsia="ja-JP"/>
        </w:rPr>
        <w:t>Audit initial ou audit de renouvellement</w:t>
      </w:r>
    </w:p>
    <w:p>
      <w:pPr>
        <w:pStyle w:val="Corpsdetexte"/>
        <w:numPr>
          <w:ilvl w:val="0"/>
          <w:numId w:val="13"/>
        </w:numPr>
        <w:ind w:left="1080"/>
        <w:rPr>
          <w:i/>
          <w:lang w:eastAsia="ja-JP"/>
        </w:rPr>
      </w:pPr>
      <w:r>
        <w:rPr>
          <w:i/>
          <w:lang w:eastAsia="ja-JP"/>
        </w:rPr>
        <w:t>Audit de suivi de labellisation, à 18 mois</w:t>
      </w:r>
    </w:p>
    <w:p>
      <w:pPr>
        <w:pStyle w:val="Corpsdetexte"/>
        <w:rPr>
          <w:i/>
          <w:lang w:eastAsia="ja-JP"/>
        </w:rPr>
      </w:pPr>
    </w:p>
    <w:p>
      <w:pPr>
        <w:pStyle w:val="Corpsdetexte"/>
        <w:numPr>
          <w:ilvl w:val="0"/>
          <w:numId w:val="17"/>
        </w:numPr>
        <w:rPr>
          <w:i/>
          <w:highlight w:val="yellow"/>
          <w:lang w:eastAsia="ja-JP"/>
        </w:rPr>
      </w:pPr>
      <w:r>
        <w:rPr>
          <w:i/>
          <w:highlight w:val="yellow"/>
          <w:lang w:eastAsia="ja-JP"/>
        </w:rPr>
        <w:t xml:space="preserve">(EN OPTION) </w:t>
      </w:r>
      <w:r>
        <w:rPr>
          <w:b/>
          <w:i/>
          <w:highlight w:val="yellow"/>
          <w:lang w:eastAsia="ja-JP"/>
        </w:rPr>
        <w:t>PRESTATION DE FORMATION DES AUDITEURS INTERNES</w:t>
      </w:r>
      <w:r>
        <w:rPr>
          <w:i/>
          <w:highlight w:val="yellow"/>
          <w:lang w:eastAsia="ja-JP"/>
        </w:rPr>
        <w:t xml:space="preserve"> </w:t>
      </w:r>
    </w:p>
    <w:p>
      <w:pPr>
        <w:pStyle w:val="Corpsdetexte"/>
        <w:rPr>
          <w:i/>
          <w:lang w:eastAsia="ja-JP"/>
        </w:rPr>
      </w:pPr>
    </w:p>
    <w:p>
      <w:pPr>
        <w:pStyle w:val="Titre1"/>
      </w:pPr>
      <w:bookmarkStart w:id="11" w:name="_Toc171514174"/>
      <w:r>
        <w:t>Prestations demandées</w:t>
      </w:r>
      <w:bookmarkEnd w:id="11"/>
    </w:p>
    <w:p>
      <w:pPr>
        <w:pStyle w:val="Titre2"/>
      </w:pPr>
      <w:bookmarkStart w:id="12" w:name="_Toc171514175"/>
      <w:r>
        <w:t>UO 1 – Préparation de l’audit</w:t>
      </w:r>
      <w:bookmarkEnd w:id="12"/>
    </w:p>
    <w:p>
      <w:pPr>
        <w:rPr>
          <w:rFonts w:cstheme="minorHAnsi"/>
          <w:bCs/>
        </w:rPr>
      </w:pPr>
      <w:r>
        <w:t>Le titulaire organise avec les équipes de [</w:t>
      </w:r>
      <w:r>
        <w:rPr>
          <w:highlight w:val="yellow"/>
        </w:rPr>
        <w:t>nom du service public candidat</w:t>
      </w:r>
      <w:r>
        <w:t xml:space="preserve">] les audits de labellisation comprenant la </w:t>
      </w:r>
      <w:r>
        <w:rPr>
          <w:rFonts w:cstheme="minorHAnsi"/>
          <w:bCs/>
        </w:rPr>
        <w:t xml:space="preserve">collecte des informations nécessaires à l’organisation des audits, le </w:t>
      </w:r>
      <w:r>
        <w:t>choix des dates d’audit, et la sélection,</w:t>
      </w:r>
      <w:r>
        <w:rPr>
          <w:rFonts w:cstheme="minorHAnsi"/>
          <w:bCs/>
        </w:rPr>
        <w:t xml:space="preserve"> le cas échéant, des services / sites à auditer. </w:t>
      </w:r>
    </w:p>
    <w:p>
      <w:pPr>
        <w:autoSpaceDE w:val="0"/>
        <w:autoSpaceDN w:val="0"/>
        <w:adjustRightInd w:val="0"/>
        <w:spacing w:before="0" w:after="0"/>
        <w:jc w:val="left"/>
        <w:rPr>
          <w:rFonts w:cs="Calibri"/>
          <w:b/>
          <w:bCs/>
          <w:color w:val="000000"/>
        </w:rPr>
      </w:pPr>
    </w:p>
    <w:p>
      <w:pPr>
        <w:autoSpaceDE w:val="0"/>
        <w:autoSpaceDN w:val="0"/>
        <w:adjustRightInd w:val="0"/>
        <w:spacing w:before="0" w:after="0"/>
        <w:jc w:val="left"/>
        <w:rPr>
          <w:rFonts w:cs="Calibri"/>
          <w:color w:val="000000"/>
        </w:rPr>
      </w:pPr>
      <w:r>
        <w:rPr>
          <w:rFonts w:cs="Calibri"/>
          <w:b/>
          <w:bCs/>
          <w:color w:val="000000"/>
        </w:rPr>
        <w:t>CAS 1 – Service public central et ses services publics locaux : La planification des audits au niveau national</w:t>
      </w:r>
      <w:r>
        <w:rPr>
          <w:rFonts w:cs="Calibri"/>
          <w:color w:val="000000"/>
        </w:rPr>
        <w:t xml:space="preserve"> </w:t>
      </w:r>
    </w:p>
    <w:p>
      <w:r>
        <w:t>Le titulaire désigne en son sein a minima une personne chargée de la planification des audits. Celle-ci est l’interlocutrice privilégiée dans les échanges avec [</w:t>
      </w:r>
      <w:r>
        <w:rPr>
          <w:highlight w:val="yellow"/>
        </w:rPr>
        <w:t>nom du service public].</w:t>
      </w:r>
      <w:r>
        <w:t xml:space="preserve"> </w:t>
      </w:r>
    </w:p>
    <w:p>
      <w:r>
        <w:t xml:space="preserve">Un tableau de synthèse permettra ensuite les échanges entre le </w:t>
      </w:r>
      <w:r>
        <w:rPr>
          <w:highlight w:val="yellow"/>
        </w:rPr>
        <w:t xml:space="preserve">responsable de la démarche qualité de </w:t>
      </w:r>
      <w:r>
        <w:t>[</w:t>
      </w:r>
      <w:r>
        <w:rPr>
          <w:highlight w:val="yellow"/>
        </w:rPr>
        <w:t xml:space="preserve">nom du service public] </w:t>
      </w:r>
      <w:r>
        <w:t xml:space="preserve">et le titulaire du marché. Le titulaire rassemblera l’ensemble des éléments nécessaires à la programmation, à la préparation, et au suivi de la réalisation des audits. </w:t>
      </w:r>
    </w:p>
    <w:p>
      <w:pPr>
        <w:autoSpaceDE w:val="0"/>
        <w:autoSpaceDN w:val="0"/>
        <w:adjustRightInd w:val="0"/>
        <w:spacing w:before="0" w:after="0"/>
        <w:rPr>
          <w:rFonts w:cs="Calibri"/>
          <w:color w:val="000000"/>
          <w:szCs w:val="20"/>
        </w:rPr>
      </w:pPr>
      <w:r>
        <w:rPr>
          <w:rFonts w:cs="Calibri"/>
          <w:color w:val="000000"/>
          <w:szCs w:val="20"/>
        </w:rPr>
        <w:t>Pour chaque service public local et central devant être audité, [</w:t>
      </w:r>
      <w:r>
        <w:rPr>
          <w:rFonts w:cs="Calibri"/>
          <w:color w:val="000000"/>
          <w:szCs w:val="20"/>
          <w:highlight w:val="yellow"/>
        </w:rPr>
        <w:t xml:space="preserve">nom du service public] </w:t>
      </w:r>
      <w:r>
        <w:rPr>
          <w:rFonts w:cs="Calibri"/>
          <w:color w:val="000000"/>
          <w:szCs w:val="20"/>
        </w:rPr>
        <w:t xml:space="preserve">communique au titulaire les informations suivantes : </w:t>
      </w:r>
    </w:p>
    <w:p>
      <w:pPr>
        <w:pStyle w:val="Paragraphedeliste"/>
        <w:numPr>
          <w:ilvl w:val="0"/>
          <w:numId w:val="11"/>
        </w:numPr>
        <w:autoSpaceDE w:val="0"/>
        <w:autoSpaceDN w:val="0"/>
        <w:adjustRightInd w:val="0"/>
        <w:spacing w:before="0" w:after="30"/>
        <w:jc w:val="left"/>
        <w:rPr>
          <w:rFonts w:cs="Calibri"/>
          <w:color w:val="000000"/>
          <w:szCs w:val="20"/>
        </w:rPr>
      </w:pPr>
      <w:proofErr w:type="gramStart"/>
      <w:r>
        <w:rPr>
          <w:rFonts w:cs="Calibri"/>
          <w:color w:val="000000"/>
          <w:szCs w:val="20"/>
        </w:rPr>
        <w:t>la</w:t>
      </w:r>
      <w:proofErr w:type="gramEnd"/>
      <w:r>
        <w:rPr>
          <w:rFonts w:cs="Calibri"/>
          <w:color w:val="000000"/>
          <w:szCs w:val="20"/>
        </w:rPr>
        <w:t xml:space="preserve"> période d’audit souhaitée ; </w:t>
      </w:r>
    </w:p>
    <w:p>
      <w:pPr>
        <w:pStyle w:val="Paragraphedeliste"/>
        <w:numPr>
          <w:ilvl w:val="0"/>
          <w:numId w:val="11"/>
        </w:numPr>
        <w:autoSpaceDE w:val="0"/>
        <w:autoSpaceDN w:val="0"/>
        <w:adjustRightInd w:val="0"/>
        <w:spacing w:before="0" w:after="30"/>
        <w:jc w:val="left"/>
        <w:rPr>
          <w:rFonts w:cs="Calibri"/>
          <w:color w:val="000000"/>
          <w:szCs w:val="20"/>
        </w:rPr>
      </w:pPr>
      <w:proofErr w:type="gramStart"/>
      <w:r>
        <w:rPr>
          <w:rFonts w:cs="Calibri"/>
          <w:color w:val="000000"/>
          <w:szCs w:val="20"/>
        </w:rPr>
        <w:t>l’adresse</w:t>
      </w:r>
      <w:proofErr w:type="gramEnd"/>
      <w:r>
        <w:rPr>
          <w:rFonts w:cs="Calibri"/>
          <w:color w:val="000000"/>
          <w:szCs w:val="20"/>
        </w:rPr>
        <w:t xml:space="preserve"> physique et postale des services publics audités ; </w:t>
      </w:r>
    </w:p>
    <w:p>
      <w:pPr>
        <w:pStyle w:val="Paragraphedeliste"/>
        <w:numPr>
          <w:ilvl w:val="0"/>
          <w:numId w:val="11"/>
        </w:numPr>
        <w:autoSpaceDE w:val="0"/>
        <w:autoSpaceDN w:val="0"/>
        <w:adjustRightInd w:val="0"/>
        <w:spacing w:before="0" w:after="0"/>
        <w:jc w:val="left"/>
        <w:rPr>
          <w:rFonts w:cs="Calibri"/>
          <w:color w:val="000000"/>
          <w:szCs w:val="20"/>
        </w:rPr>
      </w:pPr>
      <w:proofErr w:type="gramStart"/>
      <w:r>
        <w:rPr>
          <w:rFonts w:cs="Calibri"/>
          <w:color w:val="000000"/>
          <w:szCs w:val="20"/>
        </w:rPr>
        <w:t>les</w:t>
      </w:r>
      <w:proofErr w:type="gramEnd"/>
      <w:r>
        <w:rPr>
          <w:rFonts w:cs="Calibri"/>
          <w:color w:val="000000"/>
          <w:szCs w:val="20"/>
        </w:rPr>
        <w:t xml:space="preserve"> noms et coordonnées du directeur et du </w:t>
      </w:r>
      <w:r>
        <w:rPr>
          <w:rFonts w:cs="Calibri"/>
          <w:color w:val="000000"/>
          <w:szCs w:val="20"/>
          <w:highlight w:val="yellow"/>
        </w:rPr>
        <w:t>responsable qualité</w:t>
      </w:r>
      <w:r>
        <w:rPr>
          <w:rFonts w:cs="Calibri"/>
          <w:color w:val="000000"/>
          <w:szCs w:val="20"/>
        </w:rPr>
        <w:t xml:space="preserve"> </w:t>
      </w:r>
    </w:p>
    <w:p>
      <w:pPr>
        <w:pStyle w:val="Paragraphedeliste"/>
        <w:numPr>
          <w:ilvl w:val="0"/>
          <w:numId w:val="11"/>
        </w:numPr>
        <w:autoSpaceDE w:val="0"/>
        <w:autoSpaceDN w:val="0"/>
        <w:adjustRightInd w:val="0"/>
        <w:spacing w:before="0" w:after="0"/>
        <w:jc w:val="left"/>
        <w:rPr>
          <w:rFonts w:cs="Calibri"/>
          <w:i/>
          <w:iCs/>
          <w:color w:val="000000"/>
          <w:szCs w:val="20"/>
        </w:rPr>
      </w:pPr>
      <w:proofErr w:type="gramStart"/>
      <w:r>
        <w:rPr>
          <w:rFonts w:cs="Calibri"/>
          <w:color w:val="000000"/>
          <w:szCs w:val="20"/>
          <w:highlight w:val="yellow"/>
        </w:rPr>
        <w:t>et</w:t>
      </w:r>
      <w:proofErr w:type="gramEnd"/>
      <w:r>
        <w:rPr>
          <w:rFonts w:cs="Calibri"/>
          <w:color w:val="000000"/>
          <w:szCs w:val="20"/>
          <w:highlight w:val="yellow"/>
        </w:rPr>
        <w:t>/ ou</w:t>
      </w:r>
      <w:r>
        <w:rPr>
          <w:rFonts w:cs="Calibri"/>
          <w:color w:val="000000"/>
          <w:szCs w:val="20"/>
        </w:rPr>
        <w:t xml:space="preserve"> le nom du référent local / correspondant </w:t>
      </w:r>
      <w:r>
        <w:rPr>
          <w:rFonts w:cs="Calibri"/>
          <w:i/>
          <w:iCs/>
          <w:color w:val="000000"/>
          <w:szCs w:val="20"/>
        </w:rPr>
        <w:t xml:space="preserve">Services Publics + </w:t>
      </w:r>
    </w:p>
    <w:p>
      <w:pPr>
        <w:autoSpaceDE w:val="0"/>
        <w:autoSpaceDN w:val="0"/>
        <w:adjustRightInd w:val="0"/>
        <w:spacing w:before="0" w:after="0"/>
        <w:jc w:val="left"/>
        <w:rPr>
          <w:rFonts w:cs="Calibri"/>
          <w:color w:val="000000"/>
          <w:szCs w:val="20"/>
        </w:rPr>
      </w:pPr>
    </w:p>
    <w:p>
      <w:pPr>
        <w:autoSpaceDE w:val="0"/>
        <w:autoSpaceDN w:val="0"/>
        <w:adjustRightInd w:val="0"/>
        <w:spacing w:before="0" w:after="0"/>
        <w:jc w:val="left"/>
        <w:rPr>
          <w:rFonts w:cs="Calibri"/>
          <w:color w:val="000000"/>
          <w:szCs w:val="20"/>
        </w:rPr>
      </w:pPr>
      <w:r>
        <w:rPr>
          <w:rFonts w:cs="Calibri"/>
          <w:color w:val="000000"/>
          <w:szCs w:val="20"/>
        </w:rPr>
        <w:t xml:space="preserve">Dans un second temps, le titulaire communique au </w:t>
      </w:r>
      <w:r>
        <w:rPr>
          <w:highlight w:val="yellow"/>
        </w:rPr>
        <w:t xml:space="preserve">responsable de la démarche qualité du </w:t>
      </w:r>
      <w:r>
        <w:t>[</w:t>
      </w:r>
      <w:r>
        <w:rPr>
          <w:highlight w:val="yellow"/>
        </w:rPr>
        <w:t xml:space="preserve">nom du service public] </w:t>
      </w:r>
      <w:r>
        <w:rPr>
          <w:rFonts w:cs="Calibri"/>
          <w:color w:val="000000"/>
          <w:szCs w:val="20"/>
        </w:rPr>
        <w:t xml:space="preserve">les informations suivantes : </w:t>
      </w:r>
    </w:p>
    <w:p>
      <w:pPr>
        <w:pStyle w:val="Paragraphedeliste"/>
        <w:numPr>
          <w:ilvl w:val="0"/>
          <w:numId w:val="11"/>
        </w:numPr>
        <w:autoSpaceDE w:val="0"/>
        <w:autoSpaceDN w:val="0"/>
        <w:adjustRightInd w:val="0"/>
        <w:spacing w:before="0" w:after="0"/>
        <w:jc w:val="left"/>
        <w:rPr>
          <w:rFonts w:cs="Calibri"/>
          <w:color w:val="000000"/>
          <w:szCs w:val="20"/>
        </w:rPr>
      </w:pPr>
      <w:proofErr w:type="gramStart"/>
      <w:r>
        <w:rPr>
          <w:rFonts w:cs="Calibri"/>
          <w:color w:val="000000"/>
          <w:szCs w:val="20"/>
        </w:rPr>
        <w:t>le</w:t>
      </w:r>
      <w:proofErr w:type="gramEnd"/>
      <w:r>
        <w:rPr>
          <w:rFonts w:cs="Calibri"/>
          <w:color w:val="000000"/>
          <w:szCs w:val="20"/>
        </w:rPr>
        <w:t xml:space="preserve"> nom et les coordonnées de ou des auditeurs missionnés ; </w:t>
      </w:r>
    </w:p>
    <w:p>
      <w:pPr>
        <w:pStyle w:val="Paragraphedeliste"/>
        <w:numPr>
          <w:ilvl w:val="0"/>
          <w:numId w:val="11"/>
        </w:numPr>
        <w:autoSpaceDE w:val="0"/>
        <w:autoSpaceDN w:val="0"/>
        <w:adjustRightInd w:val="0"/>
        <w:spacing w:before="0" w:after="0"/>
        <w:jc w:val="left"/>
        <w:rPr>
          <w:rFonts w:cs="Calibri"/>
          <w:color w:val="000000"/>
          <w:szCs w:val="20"/>
        </w:rPr>
      </w:pPr>
      <w:proofErr w:type="gramStart"/>
      <w:r>
        <w:rPr>
          <w:rFonts w:cs="Calibri"/>
          <w:color w:val="000000"/>
          <w:szCs w:val="20"/>
        </w:rPr>
        <w:t>les</w:t>
      </w:r>
      <w:proofErr w:type="gramEnd"/>
      <w:r>
        <w:rPr>
          <w:rFonts w:cs="Calibri"/>
          <w:color w:val="000000"/>
          <w:szCs w:val="20"/>
        </w:rPr>
        <w:t xml:space="preserve"> dates proposées ; </w:t>
      </w:r>
    </w:p>
    <w:p>
      <w:pPr>
        <w:pStyle w:val="Paragraphedeliste"/>
        <w:numPr>
          <w:ilvl w:val="0"/>
          <w:numId w:val="11"/>
        </w:numPr>
        <w:autoSpaceDE w:val="0"/>
        <w:autoSpaceDN w:val="0"/>
        <w:adjustRightInd w:val="0"/>
        <w:spacing w:before="0" w:after="0"/>
        <w:jc w:val="left"/>
        <w:rPr>
          <w:rFonts w:cs="Calibri"/>
          <w:color w:val="000000"/>
          <w:szCs w:val="20"/>
        </w:rPr>
      </w:pPr>
      <w:proofErr w:type="gramStart"/>
      <w:r>
        <w:rPr>
          <w:rFonts w:cs="Calibri"/>
          <w:color w:val="000000"/>
          <w:szCs w:val="20"/>
        </w:rPr>
        <w:t>la</w:t>
      </w:r>
      <w:proofErr w:type="gramEnd"/>
      <w:r>
        <w:rPr>
          <w:rFonts w:cs="Calibri"/>
          <w:color w:val="000000"/>
          <w:szCs w:val="20"/>
        </w:rPr>
        <w:t xml:space="preserve"> durée de l’audit / des audits conformément à l’annexe 12 du guide du label « Services Publics + »; </w:t>
      </w:r>
    </w:p>
    <w:p>
      <w:pPr>
        <w:pStyle w:val="Paragraphedeliste"/>
        <w:numPr>
          <w:ilvl w:val="0"/>
          <w:numId w:val="11"/>
        </w:numPr>
        <w:autoSpaceDE w:val="0"/>
        <w:autoSpaceDN w:val="0"/>
        <w:adjustRightInd w:val="0"/>
        <w:spacing w:before="0" w:after="0"/>
        <w:jc w:val="left"/>
        <w:rPr>
          <w:rFonts w:cs="Calibri"/>
          <w:color w:val="000000"/>
          <w:szCs w:val="20"/>
        </w:rPr>
      </w:pPr>
      <w:proofErr w:type="gramStart"/>
      <w:r>
        <w:rPr>
          <w:rFonts w:cs="Calibri"/>
          <w:color w:val="000000"/>
          <w:szCs w:val="20"/>
        </w:rPr>
        <w:t>le</w:t>
      </w:r>
      <w:proofErr w:type="gramEnd"/>
      <w:r>
        <w:rPr>
          <w:rFonts w:cs="Calibri"/>
          <w:color w:val="000000"/>
          <w:szCs w:val="20"/>
        </w:rPr>
        <w:t xml:space="preserve"> statut de l’audit (à programmer, planifié, réalisé etc.). </w:t>
      </w:r>
    </w:p>
    <w:p>
      <w:pPr>
        <w:autoSpaceDE w:val="0"/>
        <w:autoSpaceDN w:val="0"/>
        <w:adjustRightInd w:val="0"/>
        <w:spacing w:before="0" w:after="0"/>
        <w:jc w:val="left"/>
        <w:rPr>
          <w:rFonts w:cs="Calibri"/>
          <w:color w:val="000000"/>
          <w:sz w:val="22"/>
        </w:rPr>
      </w:pPr>
    </w:p>
    <w:p>
      <w:r>
        <w:rPr>
          <w:rFonts w:cs="Calibri"/>
          <w:color w:val="000000"/>
          <w:szCs w:val="20"/>
        </w:rPr>
        <w:t xml:space="preserve">La planification </w:t>
      </w:r>
      <w:r>
        <w:t xml:space="preserve">des audits de chacun des services publics (locaux et central) s’effectue dans les conditions prévues par le guide du label « Services Publics + » (cf. 3.6 </w:t>
      </w:r>
      <w:r>
        <w:rPr>
          <w:i/>
        </w:rPr>
        <w:t>Organisation de l’audit par l’organisme de certification</w:t>
      </w:r>
      <w:r>
        <w:t xml:space="preserve">, et 3.7 </w:t>
      </w:r>
      <w:r>
        <w:rPr>
          <w:i/>
        </w:rPr>
        <w:t>Réalisation de l’audit de labellisation</w:t>
      </w:r>
      <w:r>
        <w:t>) : le titulaire du marché intervient auprès des équipes de [</w:t>
      </w:r>
      <w:r>
        <w:rPr>
          <w:highlight w:val="yellow"/>
        </w:rPr>
        <w:t>nom du service public candidat</w:t>
      </w:r>
      <w:r>
        <w:t xml:space="preserve">] pour organiser la tenue des audits de labellisation : </w:t>
      </w:r>
      <w:r>
        <w:rPr>
          <w:rFonts w:cstheme="minorHAnsi"/>
          <w:bCs/>
        </w:rPr>
        <w:t xml:space="preserve">collecte des informations nécessaires à l’organisation des audits, </w:t>
      </w:r>
      <w:r>
        <w:t>choix des dates d’audit, sélection,</w:t>
      </w:r>
      <w:r>
        <w:rPr>
          <w:rFonts w:cstheme="minorHAnsi"/>
          <w:bCs/>
        </w:rPr>
        <w:t xml:space="preserve"> le cas échéant, des sites de proximité à auditer. </w:t>
      </w:r>
    </w:p>
    <w:p>
      <w:pPr>
        <w:autoSpaceDE w:val="0"/>
        <w:autoSpaceDN w:val="0"/>
        <w:adjustRightInd w:val="0"/>
        <w:spacing w:before="0" w:after="0"/>
        <w:jc w:val="left"/>
        <w:rPr>
          <w:rFonts w:cs="Calibri"/>
          <w:color w:val="000000"/>
          <w:sz w:val="22"/>
        </w:rPr>
      </w:pPr>
    </w:p>
    <w:p>
      <w:pPr>
        <w:autoSpaceDE w:val="0"/>
        <w:autoSpaceDN w:val="0"/>
        <w:adjustRightInd w:val="0"/>
        <w:spacing w:before="0" w:after="0"/>
        <w:jc w:val="left"/>
        <w:rPr>
          <w:rFonts w:cs="Calibri"/>
          <w:color w:val="000000"/>
          <w:szCs w:val="20"/>
        </w:rPr>
      </w:pPr>
      <w:r>
        <w:rPr>
          <w:rFonts w:cs="Calibri"/>
          <w:color w:val="000000"/>
          <w:szCs w:val="20"/>
        </w:rPr>
        <w:t xml:space="preserve">Les dates définitives sont arbitrées et arrêtées entre le </w:t>
      </w:r>
      <w:r>
        <w:rPr>
          <w:rFonts w:cs="Calibri"/>
          <w:color w:val="000000"/>
          <w:szCs w:val="20"/>
          <w:highlight w:val="yellow"/>
        </w:rPr>
        <w:t>responsable de la démarche qualité</w:t>
      </w:r>
      <w:r>
        <w:rPr>
          <w:rFonts w:cs="Calibri"/>
          <w:color w:val="000000"/>
          <w:szCs w:val="20"/>
        </w:rPr>
        <w:t xml:space="preserve"> du </w:t>
      </w:r>
      <w:r>
        <w:rPr>
          <w:rFonts w:cs="Calibri"/>
          <w:color w:val="000000"/>
          <w:szCs w:val="20"/>
          <w:highlight w:val="yellow"/>
        </w:rPr>
        <w:t>[nom du service public]</w:t>
      </w:r>
      <w:r>
        <w:rPr>
          <w:rFonts w:cs="Calibri"/>
          <w:color w:val="000000"/>
          <w:szCs w:val="20"/>
        </w:rPr>
        <w:t xml:space="preserve"> et le titulaire du marché. </w:t>
      </w:r>
    </w:p>
    <w:p>
      <w:pPr>
        <w:autoSpaceDE w:val="0"/>
        <w:autoSpaceDN w:val="0"/>
        <w:adjustRightInd w:val="0"/>
        <w:spacing w:before="0" w:after="0"/>
        <w:jc w:val="left"/>
        <w:rPr>
          <w:rFonts w:cs="Calibri"/>
          <w:color w:val="000000"/>
          <w:szCs w:val="20"/>
        </w:rPr>
      </w:pPr>
    </w:p>
    <w:p>
      <w:pPr>
        <w:autoSpaceDE w:val="0"/>
        <w:autoSpaceDN w:val="0"/>
        <w:adjustRightInd w:val="0"/>
        <w:spacing w:before="0" w:after="0"/>
        <w:rPr>
          <w:rFonts w:cs="Calibri"/>
          <w:color w:val="000000"/>
          <w:szCs w:val="20"/>
        </w:rPr>
      </w:pPr>
      <w:r>
        <w:rPr>
          <w:highlight w:val="yellow"/>
        </w:rPr>
        <w:t>[</w:t>
      </w:r>
      <w:proofErr w:type="gramStart"/>
      <w:r>
        <w:rPr>
          <w:highlight w:val="yellow"/>
        </w:rPr>
        <w:t>nom</w:t>
      </w:r>
      <w:proofErr w:type="gramEnd"/>
      <w:r>
        <w:rPr>
          <w:highlight w:val="yellow"/>
        </w:rPr>
        <w:t xml:space="preserve"> du service public candidat]</w:t>
      </w:r>
      <w:r>
        <w:t xml:space="preserve"> </w:t>
      </w:r>
      <w:r>
        <w:rPr>
          <w:rFonts w:cs="Calibri"/>
          <w:color w:val="000000"/>
          <w:szCs w:val="20"/>
        </w:rPr>
        <w:t xml:space="preserve">identifie et communique au titulaire la liste de ses interlocuteurs internes amenés à participer à chaque audit. </w:t>
      </w:r>
    </w:p>
    <w:p>
      <w:pPr>
        <w:autoSpaceDE w:val="0"/>
        <w:autoSpaceDN w:val="0"/>
        <w:adjustRightInd w:val="0"/>
        <w:spacing w:before="0" w:after="0"/>
        <w:jc w:val="left"/>
        <w:rPr>
          <w:rFonts w:cs="Calibri"/>
          <w:color w:val="000000"/>
          <w:szCs w:val="20"/>
        </w:rPr>
      </w:pPr>
    </w:p>
    <w:p>
      <w:pPr>
        <w:autoSpaceDE w:val="0"/>
        <w:autoSpaceDN w:val="0"/>
        <w:adjustRightInd w:val="0"/>
        <w:spacing w:before="0" w:after="0"/>
        <w:jc w:val="left"/>
        <w:rPr>
          <w:rFonts w:cs="Calibri"/>
          <w:b/>
          <w:bCs/>
          <w:color w:val="000000"/>
        </w:rPr>
      </w:pPr>
    </w:p>
    <w:p>
      <w:pPr>
        <w:autoSpaceDE w:val="0"/>
        <w:autoSpaceDN w:val="0"/>
        <w:adjustRightInd w:val="0"/>
        <w:spacing w:before="0" w:after="0"/>
        <w:jc w:val="left"/>
        <w:rPr>
          <w:rFonts w:cs="Calibri"/>
          <w:color w:val="000000"/>
        </w:rPr>
      </w:pPr>
      <w:r>
        <w:rPr>
          <w:rFonts w:cs="Calibri"/>
          <w:b/>
          <w:bCs/>
          <w:color w:val="000000"/>
        </w:rPr>
        <w:t xml:space="preserve">CAS 2 – Service public local : La planification des audits </w:t>
      </w:r>
    </w:p>
    <w:p>
      <w:pPr>
        <w:autoSpaceDE w:val="0"/>
        <w:autoSpaceDN w:val="0"/>
        <w:adjustRightInd w:val="0"/>
        <w:spacing w:before="0" w:after="0"/>
        <w:jc w:val="left"/>
      </w:pPr>
    </w:p>
    <w:p>
      <w:r>
        <w:t xml:space="preserve">La planification de l’audit s’effectue dans les conditions prévues par le guide du label « Services Publics + » (cf. 3.6 </w:t>
      </w:r>
      <w:r>
        <w:rPr>
          <w:i/>
        </w:rPr>
        <w:t>Organisation de l’audit par l’organisme de certification</w:t>
      </w:r>
      <w:r>
        <w:t xml:space="preserve">, et 3.7 </w:t>
      </w:r>
      <w:r>
        <w:rPr>
          <w:i/>
        </w:rPr>
        <w:t>Réalisation de l’audit de labellisation</w:t>
      </w:r>
      <w:r>
        <w:t>) : le titulaire du marché intervient auprès des équipes de [</w:t>
      </w:r>
      <w:r>
        <w:rPr>
          <w:highlight w:val="yellow"/>
        </w:rPr>
        <w:t>nom du service public candidat</w:t>
      </w:r>
      <w:r>
        <w:t xml:space="preserve">] pour organiser la tenue des audits de labellisation : </w:t>
      </w:r>
      <w:r>
        <w:rPr>
          <w:rFonts w:cstheme="minorHAnsi"/>
          <w:bCs/>
        </w:rPr>
        <w:t xml:space="preserve">collecte des informations nécessaires à l’organisation des audits, </w:t>
      </w:r>
      <w:r>
        <w:t>choix des dates d’audit, sélection,</w:t>
      </w:r>
      <w:r>
        <w:rPr>
          <w:rFonts w:cstheme="minorHAnsi"/>
          <w:bCs/>
        </w:rPr>
        <w:t xml:space="preserve"> le cas échéant, des sites de proximité à auditer. </w:t>
      </w:r>
    </w:p>
    <w:p>
      <w:pPr>
        <w:autoSpaceDE w:val="0"/>
        <w:autoSpaceDN w:val="0"/>
        <w:adjustRightInd w:val="0"/>
        <w:spacing w:before="0" w:after="0"/>
        <w:jc w:val="left"/>
        <w:rPr>
          <w:rFonts w:cs="Calibri"/>
          <w:color w:val="000000"/>
          <w:sz w:val="22"/>
        </w:rPr>
      </w:pPr>
    </w:p>
    <w:p>
      <w:pPr>
        <w:autoSpaceDE w:val="0"/>
        <w:autoSpaceDN w:val="0"/>
        <w:adjustRightInd w:val="0"/>
        <w:spacing w:before="0" w:after="0"/>
        <w:jc w:val="left"/>
        <w:rPr>
          <w:rFonts w:cs="Calibri"/>
          <w:color w:val="000000"/>
          <w:szCs w:val="20"/>
        </w:rPr>
      </w:pPr>
      <w:r>
        <w:rPr>
          <w:rFonts w:cs="Calibri"/>
          <w:color w:val="000000"/>
          <w:szCs w:val="20"/>
        </w:rPr>
        <w:t>Les dates définitives sont arbitrées et arrêtées entre le responsable de la démarche qualité du [</w:t>
      </w:r>
      <w:r>
        <w:rPr>
          <w:rFonts w:cs="Calibri"/>
          <w:color w:val="000000"/>
          <w:szCs w:val="20"/>
          <w:highlight w:val="yellow"/>
        </w:rPr>
        <w:t>nom du service public candidat]</w:t>
      </w:r>
      <w:r>
        <w:rPr>
          <w:rFonts w:cs="Calibri"/>
          <w:color w:val="000000"/>
          <w:szCs w:val="20"/>
        </w:rPr>
        <w:t xml:space="preserve"> et le titulaire du marché. </w:t>
      </w:r>
    </w:p>
    <w:p>
      <w:pPr>
        <w:autoSpaceDE w:val="0"/>
        <w:autoSpaceDN w:val="0"/>
        <w:adjustRightInd w:val="0"/>
        <w:spacing w:before="0" w:after="0"/>
        <w:jc w:val="left"/>
        <w:rPr>
          <w:rFonts w:cs="Calibri"/>
          <w:color w:val="000000"/>
          <w:szCs w:val="20"/>
        </w:rPr>
      </w:pPr>
    </w:p>
    <w:p>
      <w:pPr>
        <w:autoSpaceDE w:val="0"/>
        <w:autoSpaceDN w:val="0"/>
        <w:adjustRightInd w:val="0"/>
        <w:spacing w:before="0" w:after="0"/>
        <w:jc w:val="left"/>
        <w:rPr>
          <w:rFonts w:cs="Calibri"/>
          <w:color w:val="000000"/>
          <w:szCs w:val="20"/>
        </w:rPr>
      </w:pPr>
      <w:r>
        <w:rPr>
          <w:highlight w:val="yellow"/>
        </w:rPr>
        <w:t>[</w:t>
      </w:r>
      <w:proofErr w:type="gramStart"/>
      <w:r>
        <w:rPr>
          <w:highlight w:val="yellow"/>
        </w:rPr>
        <w:t>nom</w:t>
      </w:r>
      <w:proofErr w:type="gramEnd"/>
      <w:r>
        <w:rPr>
          <w:highlight w:val="yellow"/>
        </w:rPr>
        <w:t xml:space="preserve"> du service public candidat]</w:t>
      </w:r>
      <w:r>
        <w:t xml:space="preserve"> </w:t>
      </w:r>
      <w:r>
        <w:rPr>
          <w:rFonts w:cs="Calibri"/>
          <w:color w:val="000000"/>
          <w:szCs w:val="20"/>
        </w:rPr>
        <w:t xml:space="preserve">identifie et communique au titulaire la liste de ses interlocuteurs internes amenés à participer à chaque audit. </w:t>
      </w:r>
    </w:p>
    <w:p>
      <w:pPr>
        <w:autoSpaceDE w:val="0"/>
        <w:autoSpaceDN w:val="0"/>
        <w:adjustRightInd w:val="0"/>
        <w:spacing w:before="0" w:after="0"/>
        <w:jc w:val="left"/>
        <w:rPr>
          <w:rFonts w:cs="Calibri"/>
          <w:color w:val="000000"/>
          <w:szCs w:val="20"/>
        </w:rPr>
      </w:pPr>
      <w:r>
        <w:rPr>
          <w:rFonts w:cs="Calibri"/>
          <w:color w:val="000000"/>
          <w:szCs w:val="20"/>
        </w:rPr>
        <w:t xml:space="preserve"> </w:t>
      </w:r>
    </w:p>
    <w:p>
      <w:pPr>
        <w:pStyle w:val="Corpsdetexte"/>
        <w:rPr>
          <w:b/>
          <w:bCs/>
          <w:u w:val="single"/>
          <w:lang w:eastAsia="ja-JP"/>
        </w:rPr>
      </w:pPr>
      <w:r>
        <w:rPr>
          <w:b/>
          <w:bCs/>
          <w:u w:val="single"/>
          <w:lang w:eastAsia="ja-JP"/>
        </w:rPr>
        <w:t>POUR TOUS LES CAS (CAS 1 et CAS 2) :</w:t>
      </w:r>
    </w:p>
    <w:p>
      <w:pPr>
        <w:spacing w:before="60" w:after="0" w:line="260" w:lineRule="atLeast"/>
        <w:ind w:right="394"/>
        <w:rPr>
          <w:rFonts w:cstheme="minorHAnsi"/>
          <w:bCs/>
        </w:rPr>
      </w:pPr>
      <w:r>
        <w:rPr>
          <w:rFonts w:cstheme="minorHAnsi"/>
          <w:bCs/>
        </w:rPr>
        <w:t xml:space="preserve">Le titulaire du marché confirme au service public candidat les modalités d’organisation dans le plan d’audit. Ce document est communiqué au plus tard </w:t>
      </w:r>
      <w:r>
        <w:rPr>
          <w:rFonts w:cstheme="minorHAnsi"/>
          <w:bCs/>
          <w:highlight w:val="yellow"/>
        </w:rPr>
        <w:t>XX jours ouvrés</w:t>
      </w:r>
      <w:r>
        <w:rPr>
          <w:rFonts w:cstheme="minorHAnsi"/>
          <w:bCs/>
        </w:rPr>
        <w:t xml:space="preserve"> </w:t>
      </w:r>
      <w:r>
        <w:t xml:space="preserve">avant l’évaluation sur site et contient les informations suivantes </w:t>
      </w:r>
      <w:r>
        <w:rPr>
          <w:rFonts w:cstheme="minorHAnsi"/>
          <w:bCs/>
        </w:rPr>
        <w:t xml:space="preserve">: </w:t>
      </w:r>
    </w:p>
    <w:p>
      <w:pPr>
        <w:pStyle w:val="Paragraphedeliste"/>
        <w:numPr>
          <w:ilvl w:val="0"/>
          <w:numId w:val="20"/>
        </w:numPr>
        <w:spacing w:before="60" w:after="0" w:line="260" w:lineRule="atLeast"/>
        <w:ind w:right="394"/>
        <w:contextualSpacing w:val="0"/>
      </w:pPr>
      <w:proofErr w:type="gramStart"/>
      <w:r>
        <w:rPr>
          <w:rFonts w:cs="Calibri"/>
          <w:szCs w:val="20"/>
        </w:rPr>
        <w:t>le</w:t>
      </w:r>
      <w:proofErr w:type="gramEnd"/>
      <w:r>
        <w:rPr>
          <w:rFonts w:cs="Calibri"/>
          <w:szCs w:val="20"/>
        </w:rPr>
        <w:t xml:space="preserve"> nom et les coordonnées de ou des auditeurs missionnés </w:t>
      </w:r>
      <w:r>
        <w:rPr>
          <w:rFonts w:cstheme="minorHAnsi"/>
          <w:bCs/>
        </w:rPr>
        <w:t>;</w:t>
      </w:r>
    </w:p>
    <w:p>
      <w:pPr>
        <w:pStyle w:val="Paragraphedeliste"/>
        <w:numPr>
          <w:ilvl w:val="0"/>
          <w:numId w:val="20"/>
        </w:numPr>
        <w:autoSpaceDE w:val="0"/>
        <w:autoSpaceDN w:val="0"/>
        <w:adjustRightInd w:val="0"/>
        <w:spacing w:before="0" w:after="0"/>
        <w:jc w:val="left"/>
      </w:pPr>
      <w:proofErr w:type="gramStart"/>
      <w:r>
        <w:rPr>
          <w:rFonts w:cstheme="minorHAnsi"/>
          <w:bCs/>
        </w:rPr>
        <w:t>la</w:t>
      </w:r>
      <w:proofErr w:type="gramEnd"/>
      <w:r>
        <w:rPr>
          <w:rFonts w:cstheme="minorHAnsi"/>
          <w:bCs/>
        </w:rPr>
        <w:t xml:space="preserve"> durée d’audit </w:t>
      </w:r>
      <w:r>
        <w:rPr>
          <w:rFonts w:cs="Calibri"/>
          <w:szCs w:val="20"/>
        </w:rPr>
        <w:t xml:space="preserve">conformément à l’annexe 12 du guide du label « Services Publics + » </w:t>
      </w:r>
      <w:r>
        <w:rPr>
          <w:rFonts w:cstheme="minorHAnsi"/>
          <w:bCs/>
        </w:rPr>
        <w:t xml:space="preserve">et les date(s) retenue(s) </w:t>
      </w:r>
      <w:r>
        <w:rPr>
          <w:rFonts w:cs="Calibri"/>
          <w:szCs w:val="20"/>
        </w:rPr>
        <w:t xml:space="preserve">; </w:t>
      </w:r>
    </w:p>
    <w:p>
      <w:pPr>
        <w:pStyle w:val="Paragraphedeliste"/>
        <w:numPr>
          <w:ilvl w:val="0"/>
          <w:numId w:val="20"/>
        </w:numPr>
        <w:autoSpaceDE w:val="0"/>
        <w:autoSpaceDN w:val="0"/>
        <w:adjustRightInd w:val="0"/>
        <w:spacing w:before="0" w:after="0"/>
        <w:jc w:val="left"/>
      </w:pPr>
      <w:proofErr w:type="gramStart"/>
      <w:r>
        <w:rPr>
          <w:rFonts w:cstheme="minorHAnsi"/>
          <w:bCs/>
        </w:rPr>
        <w:t>la</w:t>
      </w:r>
      <w:proofErr w:type="gramEnd"/>
      <w:r>
        <w:rPr>
          <w:rFonts w:cstheme="minorHAnsi"/>
          <w:bCs/>
        </w:rPr>
        <w:t xml:space="preserve"> liste communiquée par </w:t>
      </w:r>
      <w:r>
        <w:rPr>
          <w:highlight w:val="yellow"/>
        </w:rPr>
        <w:t>[nom du service public candidat]</w:t>
      </w:r>
      <w:r>
        <w:t xml:space="preserve"> </w:t>
      </w:r>
      <w:r>
        <w:rPr>
          <w:rFonts w:cstheme="minorHAnsi"/>
          <w:bCs/>
        </w:rPr>
        <w:t xml:space="preserve"> des personnes ressources sollicitées pour participer aux échanges programmés sur le ou les sites audités </w:t>
      </w:r>
    </w:p>
    <w:p>
      <w:pPr>
        <w:pStyle w:val="Corpsdetexte"/>
        <w:rPr>
          <w:i/>
          <w:iCs/>
          <w:lang w:eastAsia="ja-JP"/>
        </w:rPr>
      </w:pPr>
      <w:r>
        <w:rPr>
          <w:b/>
          <w:bCs/>
          <w:i/>
          <w:iCs/>
          <w:lang w:eastAsia="ja-JP"/>
        </w:rPr>
        <w:t xml:space="preserve">Livrable attendu : </w:t>
      </w:r>
      <w:r>
        <w:rPr>
          <w:i/>
          <w:iCs/>
          <w:lang w:eastAsia="ja-JP"/>
        </w:rPr>
        <w:t>plan d’audit</w:t>
      </w:r>
    </w:p>
    <w:p>
      <w:pPr>
        <w:rPr>
          <w:b/>
          <w:bCs/>
          <w:szCs w:val="20"/>
        </w:rPr>
      </w:pPr>
      <w:r>
        <w:rPr>
          <w:b/>
          <w:bCs/>
          <w:szCs w:val="20"/>
        </w:rPr>
        <w:t xml:space="preserve">Cette UO est mobilisée en fonction de sa complexité et sa durée d’intervention et se décline comme ci-dessous. </w:t>
      </w:r>
    </w:p>
    <w:p>
      <w:pPr>
        <w:pStyle w:val="Paragraphedeliste"/>
        <w:numPr>
          <w:ilvl w:val="0"/>
          <w:numId w:val="20"/>
        </w:numPr>
        <w:rPr>
          <w:szCs w:val="20"/>
        </w:rPr>
      </w:pPr>
      <w:r>
        <w:rPr>
          <w:szCs w:val="20"/>
        </w:rPr>
        <w:t xml:space="preserve">UO 1.1 pour une demi-journée de x heures de préparation d’audit </w:t>
      </w:r>
    </w:p>
    <w:p>
      <w:pPr>
        <w:pStyle w:val="Paragraphedeliste"/>
        <w:numPr>
          <w:ilvl w:val="0"/>
          <w:numId w:val="20"/>
        </w:numPr>
        <w:rPr>
          <w:szCs w:val="20"/>
        </w:rPr>
      </w:pPr>
      <w:r>
        <w:rPr>
          <w:szCs w:val="20"/>
        </w:rPr>
        <w:t xml:space="preserve">UO 1.2 pour une journée de x heures de préparation d’audit </w:t>
      </w:r>
    </w:p>
    <w:p>
      <w:pPr>
        <w:pStyle w:val="Titre2"/>
      </w:pPr>
      <w:bookmarkStart w:id="13" w:name="_Toc171514176"/>
      <w:r>
        <w:t>UO 2 – Réalisation des audits de labellisation et transmission des conclusions des audits</w:t>
      </w:r>
      <w:bookmarkEnd w:id="13"/>
      <w:r>
        <w:t xml:space="preserve"> </w:t>
      </w:r>
    </w:p>
    <w:p>
      <w:pPr>
        <w:pStyle w:val="Titre3"/>
      </w:pPr>
      <w:r>
        <w:t xml:space="preserve"> </w:t>
      </w:r>
      <w:bookmarkStart w:id="14" w:name="_Toc171514177"/>
      <w:r>
        <w:t>Déroulement des audits de labellisation</w:t>
      </w:r>
      <w:bookmarkEnd w:id="14"/>
      <w:r>
        <w:t xml:space="preserve"> </w:t>
      </w:r>
    </w:p>
    <w:p>
      <w:r>
        <w:t>Le titulaire du marché intervient auprès des équipes [</w:t>
      </w:r>
      <w:r>
        <w:rPr>
          <w:highlight w:val="yellow"/>
        </w:rPr>
        <w:t>nom du service public candidat</w:t>
      </w:r>
      <w:r>
        <w:t xml:space="preserve">] et mène des audits de </w:t>
      </w:r>
      <w:r>
        <w:rPr>
          <w:highlight w:val="yellow"/>
        </w:rPr>
        <w:t>labellisation, de suivi ou de renouvellement du label</w:t>
      </w:r>
      <w:r>
        <w:t xml:space="preserve">. </w:t>
      </w:r>
    </w:p>
    <w:p>
      <w:pPr>
        <w:rPr>
          <w:highlight w:val="green"/>
        </w:rPr>
      </w:pPr>
      <w:r>
        <w:t xml:space="preserve">Les audits sont réalisés du lundi au vendredi entre </w:t>
      </w:r>
      <w:r>
        <w:rPr>
          <w:highlight w:val="yellow"/>
        </w:rPr>
        <w:t xml:space="preserve">[8h00 et 18h00]. </w:t>
      </w:r>
    </w:p>
    <w:p>
      <w:pPr>
        <w:autoSpaceDE w:val="0"/>
        <w:autoSpaceDN w:val="0"/>
        <w:adjustRightInd w:val="0"/>
        <w:spacing w:before="0" w:after="0"/>
        <w:jc w:val="left"/>
        <w:rPr>
          <w:szCs w:val="20"/>
        </w:rPr>
      </w:pPr>
    </w:p>
    <w:p>
      <w:pPr>
        <w:autoSpaceDE w:val="0"/>
        <w:autoSpaceDN w:val="0"/>
        <w:adjustRightInd w:val="0"/>
        <w:spacing w:before="0" w:after="0"/>
        <w:jc w:val="left"/>
        <w:rPr>
          <w:b/>
          <w:bCs/>
          <w:szCs w:val="20"/>
          <w:u w:val="single"/>
        </w:rPr>
      </w:pPr>
      <w:r>
        <w:rPr>
          <w:b/>
          <w:bCs/>
          <w:szCs w:val="20"/>
          <w:u w:val="single"/>
        </w:rPr>
        <w:t xml:space="preserve">CAS 1 : Service public central et ses services publics locaux </w:t>
      </w:r>
    </w:p>
    <w:p>
      <w:pPr>
        <w:autoSpaceDE w:val="0"/>
        <w:autoSpaceDN w:val="0"/>
        <w:adjustRightInd w:val="0"/>
        <w:spacing w:before="0" w:after="0"/>
        <w:jc w:val="left"/>
        <w:rPr>
          <w:szCs w:val="20"/>
        </w:rPr>
      </w:pPr>
    </w:p>
    <w:p>
      <w:pPr>
        <w:autoSpaceDE w:val="0"/>
        <w:autoSpaceDN w:val="0"/>
        <w:adjustRightInd w:val="0"/>
        <w:spacing w:before="0" w:after="0"/>
        <w:jc w:val="left"/>
        <w:rPr>
          <w:szCs w:val="20"/>
        </w:rPr>
      </w:pPr>
      <w:r>
        <w:rPr>
          <w:szCs w:val="20"/>
        </w:rPr>
        <w:t xml:space="preserve">Selon les dispositions prévues par le guide du label « Services publics + » et ses annexes, le titulaire doit réaliser : </w:t>
      </w:r>
    </w:p>
    <w:p>
      <w:pPr>
        <w:autoSpaceDE w:val="0"/>
        <w:autoSpaceDN w:val="0"/>
        <w:adjustRightInd w:val="0"/>
        <w:spacing w:before="0" w:after="0"/>
        <w:jc w:val="left"/>
        <w:rPr>
          <w:szCs w:val="20"/>
        </w:rPr>
      </w:pPr>
    </w:p>
    <w:p>
      <w:pPr>
        <w:pStyle w:val="Paragraphedeliste"/>
        <w:numPr>
          <w:ilvl w:val="0"/>
          <w:numId w:val="11"/>
        </w:numPr>
        <w:autoSpaceDE w:val="0"/>
        <w:autoSpaceDN w:val="0"/>
        <w:adjustRightInd w:val="0"/>
        <w:spacing w:before="0" w:after="0"/>
        <w:jc w:val="left"/>
        <w:rPr>
          <w:szCs w:val="20"/>
          <w:lang w:eastAsia="ja-JP"/>
        </w:rPr>
      </w:pPr>
      <w:r>
        <w:rPr>
          <w:szCs w:val="20"/>
          <w:highlight w:val="yellow"/>
        </w:rPr>
        <w:t>[√n services publics locaux éligibles au moins]</w:t>
      </w:r>
      <w:r>
        <w:rPr>
          <w:szCs w:val="20"/>
        </w:rPr>
        <w:t xml:space="preserve"> audits par an, soit </w:t>
      </w:r>
      <w:r>
        <w:rPr>
          <w:szCs w:val="20"/>
          <w:highlight w:val="yellow"/>
        </w:rPr>
        <w:t>[au moins 3x√n services publics locaux éligibles]</w:t>
      </w:r>
      <w:r>
        <w:rPr>
          <w:szCs w:val="20"/>
        </w:rPr>
        <w:t xml:space="preserve"> audits sur 3 ans. L’audit de chaque service public local de l’échantillon varie entre 1,5 à 4 jours en fonction du nombre d’agents en interaction avec les usagers relevant du périmètre d’audit. </w:t>
      </w:r>
    </w:p>
    <w:p>
      <w:pPr>
        <w:pStyle w:val="Paragraphedeliste"/>
        <w:numPr>
          <w:ilvl w:val="0"/>
          <w:numId w:val="11"/>
        </w:numPr>
        <w:autoSpaceDE w:val="0"/>
        <w:autoSpaceDN w:val="0"/>
        <w:adjustRightInd w:val="0"/>
        <w:spacing w:before="0" w:after="0"/>
        <w:jc w:val="left"/>
        <w:rPr>
          <w:szCs w:val="20"/>
          <w:lang w:eastAsia="ja-JP"/>
        </w:rPr>
      </w:pPr>
      <w:proofErr w:type="gramStart"/>
      <w:r>
        <w:rPr>
          <w:szCs w:val="20"/>
        </w:rPr>
        <w:t>un</w:t>
      </w:r>
      <w:proofErr w:type="gramEnd"/>
      <w:r>
        <w:rPr>
          <w:szCs w:val="20"/>
        </w:rPr>
        <w:t xml:space="preserve"> audit du service public central chaque année. Cet audit dure 0,5 jour.  </w:t>
      </w:r>
    </w:p>
    <w:p>
      <w:pPr>
        <w:autoSpaceDE w:val="0"/>
        <w:autoSpaceDN w:val="0"/>
        <w:adjustRightInd w:val="0"/>
        <w:spacing w:before="0" w:after="0"/>
        <w:jc w:val="left"/>
        <w:rPr>
          <w:szCs w:val="20"/>
          <w:lang w:eastAsia="ja-JP"/>
        </w:rPr>
      </w:pPr>
    </w:p>
    <w:p>
      <w:pPr>
        <w:autoSpaceDE w:val="0"/>
        <w:autoSpaceDN w:val="0"/>
        <w:adjustRightInd w:val="0"/>
        <w:spacing w:before="0" w:after="0"/>
        <w:jc w:val="left"/>
        <w:rPr>
          <w:szCs w:val="20"/>
        </w:rPr>
      </w:pPr>
      <w:r>
        <w:rPr>
          <w:szCs w:val="20"/>
        </w:rPr>
        <w:t>La durée précise des audits est définie par l’annexe 12 du guide du label « Services Publics + ».</w:t>
      </w:r>
    </w:p>
    <w:p>
      <w:pPr>
        <w:autoSpaceDE w:val="0"/>
        <w:autoSpaceDN w:val="0"/>
        <w:adjustRightInd w:val="0"/>
        <w:spacing w:before="0" w:after="0"/>
        <w:jc w:val="left"/>
        <w:rPr>
          <w:szCs w:val="20"/>
        </w:rPr>
      </w:pPr>
    </w:p>
    <w:p>
      <w:pPr>
        <w:spacing w:before="0" w:after="200" w:line="276" w:lineRule="auto"/>
        <w:jc w:val="left"/>
      </w:pPr>
      <w:r>
        <w:t>Au cours d’un cycle de labellisation, les audits réalisés par le titulaire s’organisent de la façon suivante :</w:t>
      </w:r>
    </w:p>
    <w:p>
      <w:pPr>
        <w:autoSpaceDE w:val="0"/>
        <w:autoSpaceDN w:val="0"/>
        <w:adjustRightInd w:val="0"/>
        <w:spacing w:before="0" w:after="0"/>
        <w:jc w:val="left"/>
      </w:pPr>
    </w:p>
    <w:tbl>
      <w:tblPr>
        <w:tblStyle w:val="Grilledutableau"/>
        <w:tblW w:w="0" w:type="auto"/>
        <w:tblLook w:val="04A0" w:firstRow="1" w:lastRow="0" w:firstColumn="1" w:lastColumn="0" w:noHBand="0" w:noVBand="1"/>
      </w:tblPr>
      <w:tblGrid>
        <w:gridCol w:w="1812"/>
        <w:gridCol w:w="1812"/>
        <w:gridCol w:w="1812"/>
        <w:gridCol w:w="1812"/>
        <w:gridCol w:w="1813"/>
      </w:tblGrid>
      <w:tr>
        <w:tc>
          <w:tcPr>
            <w:tcW w:w="1812" w:type="dxa"/>
          </w:tcPr>
          <w:p>
            <w:pPr>
              <w:autoSpaceDE w:val="0"/>
              <w:autoSpaceDN w:val="0"/>
              <w:adjustRightInd w:val="0"/>
              <w:spacing w:before="0" w:after="0"/>
              <w:jc w:val="left"/>
              <w:rPr>
                <w:sz w:val="18"/>
                <w:szCs w:val="20"/>
              </w:rPr>
            </w:pPr>
          </w:p>
        </w:tc>
        <w:tc>
          <w:tcPr>
            <w:tcW w:w="1812" w:type="dxa"/>
          </w:tcPr>
          <w:p>
            <w:pPr>
              <w:autoSpaceDE w:val="0"/>
              <w:autoSpaceDN w:val="0"/>
              <w:adjustRightInd w:val="0"/>
              <w:spacing w:before="0" w:after="0"/>
              <w:jc w:val="left"/>
              <w:rPr>
                <w:b/>
                <w:sz w:val="18"/>
                <w:szCs w:val="20"/>
              </w:rPr>
            </w:pPr>
            <w:r>
              <w:rPr>
                <w:b/>
                <w:sz w:val="18"/>
                <w:szCs w:val="20"/>
              </w:rPr>
              <w:t xml:space="preserve">Année N </w:t>
            </w:r>
          </w:p>
        </w:tc>
        <w:tc>
          <w:tcPr>
            <w:tcW w:w="1812" w:type="dxa"/>
          </w:tcPr>
          <w:p>
            <w:pPr>
              <w:autoSpaceDE w:val="0"/>
              <w:autoSpaceDN w:val="0"/>
              <w:adjustRightInd w:val="0"/>
              <w:spacing w:before="0" w:after="0"/>
              <w:jc w:val="left"/>
              <w:rPr>
                <w:b/>
                <w:sz w:val="18"/>
                <w:szCs w:val="20"/>
              </w:rPr>
            </w:pPr>
            <w:r>
              <w:rPr>
                <w:b/>
                <w:sz w:val="18"/>
                <w:szCs w:val="20"/>
              </w:rPr>
              <w:t xml:space="preserve">Année N+1 </w:t>
            </w:r>
          </w:p>
        </w:tc>
        <w:tc>
          <w:tcPr>
            <w:tcW w:w="1812" w:type="dxa"/>
          </w:tcPr>
          <w:p>
            <w:pPr>
              <w:autoSpaceDE w:val="0"/>
              <w:autoSpaceDN w:val="0"/>
              <w:adjustRightInd w:val="0"/>
              <w:spacing w:before="0" w:after="0"/>
              <w:jc w:val="left"/>
              <w:rPr>
                <w:b/>
                <w:sz w:val="18"/>
                <w:szCs w:val="20"/>
              </w:rPr>
            </w:pPr>
            <w:r>
              <w:rPr>
                <w:b/>
                <w:sz w:val="18"/>
                <w:szCs w:val="20"/>
              </w:rPr>
              <w:t>Année N+2</w:t>
            </w:r>
          </w:p>
        </w:tc>
        <w:tc>
          <w:tcPr>
            <w:tcW w:w="1813" w:type="dxa"/>
          </w:tcPr>
          <w:p>
            <w:pPr>
              <w:autoSpaceDE w:val="0"/>
              <w:autoSpaceDN w:val="0"/>
              <w:adjustRightInd w:val="0"/>
              <w:spacing w:before="0" w:after="0"/>
              <w:jc w:val="left"/>
              <w:rPr>
                <w:b/>
                <w:sz w:val="18"/>
                <w:szCs w:val="20"/>
              </w:rPr>
            </w:pPr>
            <w:r>
              <w:rPr>
                <w:b/>
                <w:sz w:val="18"/>
                <w:szCs w:val="20"/>
              </w:rPr>
              <w:t xml:space="preserve">Nouveau cycle  </w:t>
            </w:r>
          </w:p>
        </w:tc>
      </w:tr>
      <w:tr>
        <w:tc>
          <w:tcPr>
            <w:tcW w:w="1812" w:type="dxa"/>
          </w:tcPr>
          <w:p>
            <w:pPr>
              <w:autoSpaceDE w:val="0"/>
              <w:autoSpaceDN w:val="0"/>
              <w:adjustRightInd w:val="0"/>
              <w:spacing w:before="0" w:after="0"/>
              <w:jc w:val="left"/>
              <w:rPr>
                <w:b/>
                <w:sz w:val="18"/>
                <w:szCs w:val="18"/>
              </w:rPr>
            </w:pPr>
            <w:r>
              <w:rPr>
                <w:b/>
                <w:sz w:val="18"/>
                <w:szCs w:val="18"/>
              </w:rPr>
              <w:t xml:space="preserve">Pour les services publics locaux </w:t>
            </w:r>
          </w:p>
        </w:tc>
        <w:tc>
          <w:tcPr>
            <w:tcW w:w="1812" w:type="dxa"/>
          </w:tcPr>
          <w:p>
            <w:pPr>
              <w:autoSpaceDE w:val="0"/>
              <w:autoSpaceDN w:val="0"/>
              <w:adjustRightInd w:val="0"/>
              <w:spacing w:before="0" w:after="0"/>
              <w:jc w:val="left"/>
              <w:rPr>
                <w:sz w:val="18"/>
                <w:szCs w:val="18"/>
              </w:rPr>
            </w:pPr>
            <w:r>
              <w:rPr>
                <w:sz w:val="18"/>
                <w:szCs w:val="18"/>
              </w:rPr>
              <w:t xml:space="preserve">Audit initial et/ou de renouvellement de label pour </w:t>
            </w:r>
            <w:r>
              <w:rPr>
                <w:sz w:val="18"/>
                <w:szCs w:val="18"/>
                <w:highlight w:val="yellow"/>
              </w:rPr>
              <w:t>√n</w:t>
            </w:r>
            <w:r>
              <w:rPr>
                <w:sz w:val="18"/>
                <w:szCs w:val="18"/>
              </w:rPr>
              <w:t xml:space="preserve"> </w:t>
            </w:r>
            <w:r>
              <w:rPr>
                <w:sz w:val="18"/>
                <w:szCs w:val="18"/>
                <w:highlight w:val="yellow"/>
              </w:rPr>
              <w:t>au moins</w:t>
            </w:r>
            <w:r>
              <w:rPr>
                <w:sz w:val="18"/>
                <w:szCs w:val="18"/>
              </w:rPr>
              <w:t xml:space="preserve"> </w:t>
            </w:r>
            <w:r>
              <w:rPr>
                <w:sz w:val="18"/>
                <w:szCs w:val="18"/>
                <w:highlight w:val="yellow"/>
              </w:rPr>
              <w:t>[services publics locaux]</w:t>
            </w:r>
          </w:p>
          <w:p>
            <w:pPr>
              <w:autoSpaceDE w:val="0"/>
              <w:autoSpaceDN w:val="0"/>
              <w:adjustRightInd w:val="0"/>
              <w:spacing w:before="0" w:after="0"/>
              <w:jc w:val="left"/>
              <w:rPr>
                <w:sz w:val="18"/>
                <w:szCs w:val="18"/>
              </w:rPr>
            </w:pPr>
          </w:p>
        </w:tc>
        <w:tc>
          <w:tcPr>
            <w:tcW w:w="1812" w:type="dxa"/>
          </w:tcPr>
          <w:p>
            <w:pPr>
              <w:autoSpaceDE w:val="0"/>
              <w:autoSpaceDN w:val="0"/>
              <w:adjustRightInd w:val="0"/>
              <w:spacing w:before="0" w:after="0"/>
              <w:jc w:val="left"/>
              <w:rPr>
                <w:sz w:val="18"/>
                <w:szCs w:val="18"/>
              </w:rPr>
            </w:pPr>
            <w:r>
              <w:rPr>
                <w:sz w:val="18"/>
                <w:szCs w:val="18"/>
              </w:rPr>
              <w:t xml:space="preserve">Audit initial et/ou de renouvellement de label pour </w:t>
            </w:r>
            <w:r>
              <w:rPr>
                <w:sz w:val="18"/>
                <w:szCs w:val="18"/>
                <w:highlight w:val="yellow"/>
              </w:rPr>
              <w:t>√n</w:t>
            </w:r>
            <w:r>
              <w:rPr>
                <w:sz w:val="18"/>
                <w:szCs w:val="18"/>
              </w:rPr>
              <w:t xml:space="preserve"> </w:t>
            </w:r>
            <w:r>
              <w:rPr>
                <w:sz w:val="18"/>
                <w:szCs w:val="18"/>
                <w:highlight w:val="yellow"/>
              </w:rPr>
              <w:t>au moins [services publics locaux]</w:t>
            </w:r>
          </w:p>
          <w:p>
            <w:pPr>
              <w:autoSpaceDE w:val="0"/>
              <w:autoSpaceDN w:val="0"/>
              <w:adjustRightInd w:val="0"/>
              <w:spacing w:before="0" w:after="0"/>
              <w:jc w:val="left"/>
              <w:rPr>
                <w:sz w:val="18"/>
                <w:szCs w:val="18"/>
              </w:rPr>
            </w:pPr>
          </w:p>
        </w:tc>
        <w:tc>
          <w:tcPr>
            <w:tcW w:w="1812" w:type="dxa"/>
          </w:tcPr>
          <w:p>
            <w:pPr>
              <w:autoSpaceDE w:val="0"/>
              <w:autoSpaceDN w:val="0"/>
              <w:adjustRightInd w:val="0"/>
              <w:spacing w:before="0" w:after="0"/>
              <w:jc w:val="left"/>
              <w:rPr>
                <w:sz w:val="18"/>
                <w:szCs w:val="18"/>
              </w:rPr>
            </w:pPr>
            <w:r>
              <w:rPr>
                <w:sz w:val="18"/>
                <w:szCs w:val="18"/>
              </w:rPr>
              <w:t xml:space="preserve">Audit initial et/ou de renouvellement de label pour </w:t>
            </w:r>
            <w:r>
              <w:rPr>
                <w:sz w:val="18"/>
                <w:szCs w:val="18"/>
                <w:highlight w:val="yellow"/>
              </w:rPr>
              <w:t>√n</w:t>
            </w:r>
            <w:r>
              <w:rPr>
                <w:sz w:val="18"/>
                <w:szCs w:val="18"/>
              </w:rPr>
              <w:t xml:space="preserve"> </w:t>
            </w:r>
            <w:r>
              <w:rPr>
                <w:sz w:val="18"/>
                <w:szCs w:val="18"/>
                <w:highlight w:val="yellow"/>
              </w:rPr>
              <w:t>au moins [services publics locaux]</w:t>
            </w:r>
          </w:p>
          <w:p>
            <w:pPr>
              <w:autoSpaceDE w:val="0"/>
              <w:autoSpaceDN w:val="0"/>
              <w:adjustRightInd w:val="0"/>
              <w:spacing w:before="0" w:after="0"/>
              <w:jc w:val="left"/>
              <w:rPr>
                <w:sz w:val="18"/>
                <w:szCs w:val="18"/>
              </w:rPr>
            </w:pPr>
          </w:p>
        </w:tc>
        <w:tc>
          <w:tcPr>
            <w:tcW w:w="1813" w:type="dxa"/>
          </w:tcPr>
          <w:p>
            <w:pPr>
              <w:autoSpaceDE w:val="0"/>
              <w:autoSpaceDN w:val="0"/>
              <w:adjustRightInd w:val="0"/>
              <w:spacing w:before="0" w:after="0"/>
              <w:jc w:val="left"/>
              <w:rPr>
                <w:sz w:val="18"/>
                <w:szCs w:val="18"/>
              </w:rPr>
            </w:pPr>
            <w:r>
              <w:rPr>
                <w:sz w:val="18"/>
                <w:szCs w:val="18"/>
              </w:rPr>
              <w:t xml:space="preserve">Audit de renouvellement de label et/ou initial pour </w:t>
            </w:r>
            <w:r>
              <w:rPr>
                <w:sz w:val="18"/>
                <w:szCs w:val="18"/>
                <w:highlight w:val="yellow"/>
              </w:rPr>
              <w:t>√n</w:t>
            </w:r>
            <w:r>
              <w:rPr>
                <w:sz w:val="18"/>
                <w:szCs w:val="18"/>
              </w:rPr>
              <w:t xml:space="preserve"> </w:t>
            </w:r>
            <w:r>
              <w:rPr>
                <w:sz w:val="18"/>
                <w:szCs w:val="18"/>
                <w:highlight w:val="yellow"/>
              </w:rPr>
              <w:t>au moins [services publics locaux]</w:t>
            </w:r>
          </w:p>
          <w:p>
            <w:pPr>
              <w:autoSpaceDE w:val="0"/>
              <w:autoSpaceDN w:val="0"/>
              <w:adjustRightInd w:val="0"/>
              <w:spacing w:before="0" w:after="0"/>
              <w:jc w:val="left"/>
              <w:rPr>
                <w:sz w:val="18"/>
                <w:szCs w:val="20"/>
              </w:rPr>
            </w:pPr>
          </w:p>
        </w:tc>
      </w:tr>
      <w:tr>
        <w:tc>
          <w:tcPr>
            <w:tcW w:w="1812" w:type="dxa"/>
          </w:tcPr>
          <w:p>
            <w:pPr>
              <w:autoSpaceDE w:val="0"/>
              <w:autoSpaceDN w:val="0"/>
              <w:adjustRightInd w:val="0"/>
              <w:spacing w:before="0" w:after="0"/>
              <w:jc w:val="left"/>
              <w:rPr>
                <w:b/>
                <w:sz w:val="18"/>
                <w:szCs w:val="18"/>
              </w:rPr>
            </w:pPr>
            <w:r>
              <w:rPr>
                <w:b/>
                <w:sz w:val="18"/>
                <w:szCs w:val="18"/>
              </w:rPr>
              <w:t xml:space="preserve">Pour le service public central </w:t>
            </w:r>
          </w:p>
        </w:tc>
        <w:tc>
          <w:tcPr>
            <w:tcW w:w="1812" w:type="dxa"/>
          </w:tcPr>
          <w:p>
            <w:pPr>
              <w:autoSpaceDE w:val="0"/>
              <w:autoSpaceDN w:val="0"/>
              <w:adjustRightInd w:val="0"/>
              <w:spacing w:before="0" w:after="0"/>
              <w:jc w:val="left"/>
              <w:rPr>
                <w:sz w:val="18"/>
                <w:szCs w:val="18"/>
              </w:rPr>
            </w:pPr>
            <w:r>
              <w:rPr>
                <w:sz w:val="18"/>
                <w:szCs w:val="18"/>
              </w:rPr>
              <w:t xml:space="preserve">Audit </w:t>
            </w:r>
            <w:r>
              <w:rPr>
                <w:sz w:val="18"/>
                <w:szCs w:val="18"/>
                <w:highlight w:val="yellow"/>
              </w:rPr>
              <w:t>initial et/ou de renouvellement</w:t>
            </w:r>
            <w:r>
              <w:rPr>
                <w:sz w:val="18"/>
                <w:szCs w:val="18"/>
              </w:rPr>
              <w:t xml:space="preserve"> de label du service public central  </w:t>
            </w:r>
          </w:p>
        </w:tc>
        <w:tc>
          <w:tcPr>
            <w:tcW w:w="1812" w:type="dxa"/>
          </w:tcPr>
          <w:p>
            <w:pPr>
              <w:autoSpaceDE w:val="0"/>
              <w:autoSpaceDN w:val="0"/>
              <w:adjustRightInd w:val="0"/>
              <w:spacing w:before="0" w:after="0"/>
              <w:jc w:val="left"/>
              <w:rPr>
                <w:sz w:val="18"/>
                <w:szCs w:val="18"/>
              </w:rPr>
            </w:pPr>
            <w:r>
              <w:rPr>
                <w:sz w:val="18"/>
                <w:szCs w:val="18"/>
              </w:rPr>
              <w:t xml:space="preserve">Audit de suivi du service public central  </w:t>
            </w:r>
          </w:p>
        </w:tc>
        <w:tc>
          <w:tcPr>
            <w:tcW w:w="1812" w:type="dxa"/>
          </w:tcPr>
          <w:p>
            <w:pPr>
              <w:autoSpaceDE w:val="0"/>
              <w:autoSpaceDN w:val="0"/>
              <w:adjustRightInd w:val="0"/>
              <w:spacing w:before="0" w:after="0"/>
              <w:jc w:val="left"/>
              <w:rPr>
                <w:sz w:val="18"/>
                <w:szCs w:val="18"/>
              </w:rPr>
            </w:pPr>
            <w:r>
              <w:rPr>
                <w:sz w:val="18"/>
                <w:szCs w:val="18"/>
              </w:rPr>
              <w:t xml:space="preserve">Audit de </w:t>
            </w:r>
            <w:proofErr w:type="gramStart"/>
            <w:r>
              <w:rPr>
                <w:sz w:val="18"/>
                <w:szCs w:val="18"/>
              </w:rPr>
              <w:t>suivi  du</w:t>
            </w:r>
            <w:proofErr w:type="gramEnd"/>
            <w:r>
              <w:rPr>
                <w:sz w:val="18"/>
                <w:szCs w:val="18"/>
              </w:rPr>
              <w:t xml:space="preserve"> service public central  </w:t>
            </w:r>
          </w:p>
        </w:tc>
        <w:tc>
          <w:tcPr>
            <w:tcW w:w="1813" w:type="dxa"/>
          </w:tcPr>
          <w:p>
            <w:pPr>
              <w:autoSpaceDE w:val="0"/>
              <w:autoSpaceDN w:val="0"/>
              <w:adjustRightInd w:val="0"/>
              <w:spacing w:before="0" w:after="0"/>
              <w:jc w:val="left"/>
              <w:rPr>
                <w:sz w:val="18"/>
                <w:szCs w:val="20"/>
              </w:rPr>
            </w:pPr>
            <w:r>
              <w:rPr>
                <w:sz w:val="18"/>
                <w:szCs w:val="18"/>
              </w:rPr>
              <w:t xml:space="preserve">Audit de renouvellement du service public central  </w:t>
            </w:r>
          </w:p>
        </w:tc>
      </w:tr>
    </w:tbl>
    <w:p>
      <w:pPr>
        <w:autoSpaceDE w:val="0"/>
        <w:autoSpaceDN w:val="0"/>
        <w:adjustRightInd w:val="0"/>
        <w:spacing w:before="0" w:after="0"/>
        <w:jc w:val="left"/>
        <w:rPr>
          <w:szCs w:val="20"/>
        </w:rPr>
      </w:pPr>
    </w:p>
    <w:p>
      <w:pPr>
        <w:autoSpaceDE w:val="0"/>
        <w:autoSpaceDN w:val="0"/>
        <w:adjustRightInd w:val="0"/>
        <w:spacing w:before="0" w:after="0"/>
        <w:jc w:val="left"/>
        <w:rPr>
          <w:szCs w:val="20"/>
        </w:rPr>
      </w:pPr>
    </w:p>
    <w:p>
      <w:pPr>
        <w:autoSpaceDE w:val="0"/>
        <w:autoSpaceDN w:val="0"/>
        <w:adjustRightInd w:val="0"/>
        <w:spacing w:before="0" w:after="0"/>
        <w:jc w:val="left"/>
        <w:rPr>
          <w:b/>
          <w:bCs/>
          <w:szCs w:val="20"/>
          <w:u w:val="single"/>
        </w:rPr>
      </w:pPr>
      <w:r>
        <w:rPr>
          <w:b/>
          <w:bCs/>
          <w:szCs w:val="20"/>
          <w:u w:val="single"/>
        </w:rPr>
        <w:t>CAS 2 : Service public local</w:t>
      </w:r>
    </w:p>
    <w:p>
      <w:pPr>
        <w:autoSpaceDE w:val="0"/>
        <w:autoSpaceDN w:val="0"/>
        <w:adjustRightInd w:val="0"/>
        <w:spacing w:before="0" w:after="0"/>
        <w:jc w:val="left"/>
        <w:rPr>
          <w:szCs w:val="20"/>
        </w:rPr>
      </w:pPr>
    </w:p>
    <w:p>
      <w:r>
        <w:t xml:space="preserve">Selon les dispositions prévues par le guide du label « Services publics + » et ses annexes, le titulaire doit réaliser : </w:t>
      </w:r>
    </w:p>
    <w:p>
      <w:pPr>
        <w:pStyle w:val="Paragraphedeliste"/>
        <w:numPr>
          <w:ilvl w:val="0"/>
          <w:numId w:val="11"/>
        </w:numPr>
        <w:autoSpaceDE w:val="0"/>
        <w:autoSpaceDN w:val="0"/>
        <w:adjustRightInd w:val="0"/>
        <w:spacing w:before="0" w:after="0"/>
        <w:jc w:val="left"/>
        <w:rPr>
          <w:szCs w:val="20"/>
        </w:rPr>
      </w:pPr>
      <w:proofErr w:type="gramStart"/>
      <w:r>
        <w:rPr>
          <w:szCs w:val="20"/>
        </w:rPr>
        <w:t>un</w:t>
      </w:r>
      <w:proofErr w:type="gramEnd"/>
      <w:r>
        <w:rPr>
          <w:szCs w:val="20"/>
        </w:rPr>
        <w:t xml:space="preserve"> audit </w:t>
      </w:r>
      <w:r>
        <w:rPr>
          <w:szCs w:val="20"/>
          <w:highlight w:val="yellow"/>
        </w:rPr>
        <w:t>initial ou de renouvellement</w:t>
      </w:r>
    </w:p>
    <w:p>
      <w:pPr>
        <w:pStyle w:val="Paragraphedeliste"/>
        <w:numPr>
          <w:ilvl w:val="0"/>
          <w:numId w:val="11"/>
        </w:numPr>
        <w:autoSpaceDE w:val="0"/>
        <w:autoSpaceDN w:val="0"/>
        <w:adjustRightInd w:val="0"/>
        <w:spacing w:before="0" w:after="0"/>
        <w:jc w:val="left"/>
        <w:rPr>
          <w:szCs w:val="20"/>
        </w:rPr>
      </w:pPr>
      <w:proofErr w:type="gramStart"/>
      <w:r>
        <w:rPr>
          <w:szCs w:val="20"/>
        </w:rPr>
        <w:t>un</w:t>
      </w:r>
      <w:proofErr w:type="gramEnd"/>
      <w:r>
        <w:rPr>
          <w:szCs w:val="20"/>
        </w:rPr>
        <w:t xml:space="preserve"> audit de suivi à 18 mois.  </w:t>
      </w:r>
    </w:p>
    <w:p>
      <w:pPr>
        <w:autoSpaceDE w:val="0"/>
        <w:autoSpaceDN w:val="0"/>
        <w:adjustRightInd w:val="0"/>
        <w:spacing w:before="0" w:after="0"/>
        <w:jc w:val="left"/>
        <w:rPr>
          <w:szCs w:val="20"/>
        </w:rPr>
      </w:pPr>
    </w:p>
    <w:p>
      <w:r>
        <w:t xml:space="preserve">La durée précise des audits est définie par l’annexe 12 du guide du label « Services Publics + ». Ainsi, compte tenu du nombre d’agents en interaction avec les usagers sur le périmètre de l’audit, chaque audit durera </w:t>
      </w:r>
      <w:r>
        <w:rPr>
          <w:highlight w:val="yellow"/>
        </w:rPr>
        <w:t>X</w:t>
      </w:r>
      <w:r>
        <w:t xml:space="preserve"> jours. </w:t>
      </w:r>
    </w:p>
    <w:p>
      <w:pPr>
        <w:autoSpaceDE w:val="0"/>
        <w:autoSpaceDN w:val="0"/>
        <w:adjustRightInd w:val="0"/>
        <w:spacing w:before="0" w:after="0"/>
        <w:jc w:val="left"/>
        <w:rPr>
          <w:szCs w:val="20"/>
        </w:rPr>
      </w:pPr>
    </w:p>
    <w:p>
      <w:pPr>
        <w:autoSpaceDE w:val="0"/>
        <w:autoSpaceDN w:val="0"/>
        <w:adjustRightInd w:val="0"/>
        <w:spacing w:before="0" w:after="0"/>
        <w:jc w:val="left"/>
      </w:pPr>
      <w:r>
        <w:t>Au cours d’un cycle de labellisation, les audits réalisés par le titulaire s’organisent de la façon suivante :</w:t>
      </w:r>
    </w:p>
    <w:p>
      <w:pPr>
        <w:autoSpaceDE w:val="0"/>
        <w:autoSpaceDN w:val="0"/>
        <w:adjustRightInd w:val="0"/>
        <w:spacing w:before="0" w:after="0"/>
        <w:jc w:val="left"/>
      </w:pPr>
    </w:p>
    <w:tbl>
      <w:tblPr>
        <w:tblStyle w:val="Grilledutableau"/>
        <w:tblW w:w="0" w:type="auto"/>
        <w:jc w:val="center"/>
        <w:tblLook w:val="04A0" w:firstRow="1" w:lastRow="0" w:firstColumn="1" w:lastColumn="0" w:noHBand="0" w:noVBand="1"/>
      </w:tblPr>
      <w:tblGrid>
        <w:gridCol w:w="1812"/>
        <w:gridCol w:w="1812"/>
        <w:gridCol w:w="1813"/>
      </w:tblGrid>
      <w:tr>
        <w:trPr>
          <w:jc w:val="center"/>
        </w:trPr>
        <w:tc>
          <w:tcPr>
            <w:tcW w:w="1812" w:type="dxa"/>
          </w:tcPr>
          <w:p>
            <w:pPr>
              <w:autoSpaceDE w:val="0"/>
              <w:autoSpaceDN w:val="0"/>
              <w:adjustRightInd w:val="0"/>
              <w:spacing w:before="0" w:after="0"/>
              <w:jc w:val="center"/>
              <w:rPr>
                <w:b/>
                <w:sz w:val="18"/>
                <w:szCs w:val="20"/>
              </w:rPr>
            </w:pPr>
            <w:r>
              <w:rPr>
                <w:b/>
                <w:sz w:val="18"/>
                <w:szCs w:val="20"/>
              </w:rPr>
              <w:t>Année N</w:t>
            </w:r>
          </w:p>
        </w:tc>
        <w:tc>
          <w:tcPr>
            <w:tcW w:w="1812" w:type="dxa"/>
          </w:tcPr>
          <w:p>
            <w:pPr>
              <w:autoSpaceDE w:val="0"/>
              <w:autoSpaceDN w:val="0"/>
              <w:adjustRightInd w:val="0"/>
              <w:spacing w:before="0" w:after="0"/>
              <w:jc w:val="center"/>
              <w:rPr>
                <w:b/>
                <w:sz w:val="18"/>
                <w:szCs w:val="20"/>
              </w:rPr>
            </w:pPr>
            <w:r>
              <w:rPr>
                <w:b/>
                <w:sz w:val="18"/>
                <w:szCs w:val="20"/>
              </w:rPr>
              <w:t>Année N+18 mois</w:t>
            </w:r>
          </w:p>
        </w:tc>
        <w:tc>
          <w:tcPr>
            <w:tcW w:w="1813" w:type="dxa"/>
          </w:tcPr>
          <w:p>
            <w:pPr>
              <w:autoSpaceDE w:val="0"/>
              <w:autoSpaceDN w:val="0"/>
              <w:adjustRightInd w:val="0"/>
              <w:spacing w:before="0" w:after="0"/>
              <w:jc w:val="center"/>
              <w:rPr>
                <w:b/>
                <w:sz w:val="18"/>
                <w:szCs w:val="20"/>
              </w:rPr>
            </w:pPr>
            <w:r>
              <w:rPr>
                <w:b/>
                <w:sz w:val="18"/>
                <w:szCs w:val="20"/>
              </w:rPr>
              <w:t>Nouveau cycle</w:t>
            </w:r>
          </w:p>
        </w:tc>
      </w:tr>
      <w:tr>
        <w:trPr>
          <w:jc w:val="center"/>
        </w:trPr>
        <w:tc>
          <w:tcPr>
            <w:tcW w:w="1812" w:type="dxa"/>
          </w:tcPr>
          <w:p>
            <w:pPr>
              <w:autoSpaceDE w:val="0"/>
              <w:autoSpaceDN w:val="0"/>
              <w:adjustRightInd w:val="0"/>
              <w:spacing w:before="0" w:after="0"/>
              <w:jc w:val="left"/>
              <w:rPr>
                <w:sz w:val="18"/>
                <w:szCs w:val="18"/>
              </w:rPr>
            </w:pPr>
            <w:r>
              <w:rPr>
                <w:sz w:val="18"/>
                <w:szCs w:val="18"/>
              </w:rPr>
              <w:t xml:space="preserve">Audit initial et/ou de renouvellement de label </w:t>
            </w:r>
          </w:p>
        </w:tc>
        <w:tc>
          <w:tcPr>
            <w:tcW w:w="1812" w:type="dxa"/>
          </w:tcPr>
          <w:p>
            <w:pPr>
              <w:autoSpaceDE w:val="0"/>
              <w:autoSpaceDN w:val="0"/>
              <w:adjustRightInd w:val="0"/>
              <w:spacing w:before="0" w:after="0"/>
              <w:jc w:val="left"/>
              <w:rPr>
                <w:sz w:val="18"/>
                <w:szCs w:val="18"/>
              </w:rPr>
            </w:pPr>
            <w:r>
              <w:rPr>
                <w:sz w:val="18"/>
                <w:szCs w:val="18"/>
              </w:rPr>
              <w:t>Audit de suivi</w:t>
            </w:r>
          </w:p>
          <w:p>
            <w:pPr>
              <w:autoSpaceDE w:val="0"/>
              <w:autoSpaceDN w:val="0"/>
              <w:adjustRightInd w:val="0"/>
              <w:spacing w:before="0" w:after="0"/>
              <w:jc w:val="left"/>
              <w:rPr>
                <w:sz w:val="18"/>
                <w:szCs w:val="18"/>
              </w:rPr>
            </w:pPr>
          </w:p>
        </w:tc>
        <w:tc>
          <w:tcPr>
            <w:tcW w:w="1813" w:type="dxa"/>
          </w:tcPr>
          <w:p>
            <w:pPr>
              <w:autoSpaceDE w:val="0"/>
              <w:autoSpaceDN w:val="0"/>
              <w:adjustRightInd w:val="0"/>
              <w:spacing w:before="0" w:after="0"/>
              <w:jc w:val="left"/>
              <w:rPr>
                <w:sz w:val="18"/>
                <w:szCs w:val="20"/>
              </w:rPr>
            </w:pPr>
            <w:r>
              <w:rPr>
                <w:sz w:val="18"/>
                <w:szCs w:val="18"/>
              </w:rPr>
              <w:t xml:space="preserve">Audit de renouvellement de label et/ou initial </w:t>
            </w:r>
          </w:p>
        </w:tc>
      </w:tr>
    </w:tbl>
    <w:p>
      <w:pPr>
        <w:pStyle w:val="Titre3"/>
      </w:pPr>
      <w:bookmarkStart w:id="15" w:name="_Toc171514178"/>
      <w:r>
        <w:t>Décision du titulaire</w:t>
      </w:r>
      <w:bookmarkEnd w:id="15"/>
      <w:r>
        <w:t xml:space="preserve"> </w:t>
      </w:r>
    </w:p>
    <w:p>
      <w:pPr>
        <w:rPr>
          <w:i/>
          <w:iCs/>
        </w:rPr>
      </w:pPr>
      <w:r>
        <w:rPr>
          <w:iCs/>
        </w:rPr>
        <w:t>Après avoir mené les audits et produit les rapports d’audit, le titulaire rend sa décision (labellisation, suspension, renouvellement ou refus de labellisation) dans les conditions prévues par le guide du label « Services Publics + »</w:t>
      </w:r>
      <w:r>
        <w:rPr>
          <w:i/>
          <w:iCs/>
        </w:rPr>
        <w:t xml:space="preserve"> (cf. 3.8 Décision et délivrance du label par l’organisme de certification)  </w:t>
      </w:r>
    </w:p>
    <w:p>
      <w:pPr>
        <w:rPr>
          <w:iCs/>
        </w:rPr>
      </w:pPr>
      <w:r>
        <w:rPr>
          <w:iCs/>
        </w:rPr>
        <w:t xml:space="preserve">En cas de labellisation, le titulaire transmet à </w:t>
      </w:r>
      <w:r>
        <w:rPr>
          <w:iCs/>
          <w:highlight w:val="yellow"/>
        </w:rPr>
        <w:t>[nom du service public]</w:t>
      </w:r>
      <w:r>
        <w:rPr>
          <w:iCs/>
        </w:rPr>
        <w:t xml:space="preserve"> l’attestation de labellisation « Services Publics + » via l’outil démarches-simplifiées.  </w:t>
      </w:r>
    </w:p>
    <w:p>
      <w:pPr>
        <w:pStyle w:val="Corpsdetexte"/>
        <w:rPr>
          <w:b/>
          <w:bCs/>
          <w:i/>
          <w:iCs/>
          <w:lang w:eastAsia="ja-JP"/>
        </w:rPr>
      </w:pPr>
      <w:r>
        <w:rPr>
          <w:b/>
          <w:bCs/>
          <w:i/>
          <w:iCs/>
          <w:lang w:eastAsia="ja-JP"/>
        </w:rPr>
        <w:t xml:space="preserve">Livrables attendus : </w:t>
      </w:r>
    </w:p>
    <w:p>
      <w:pPr>
        <w:pStyle w:val="Paragraphedeliste"/>
        <w:numPr>
          <w:ilvl w:val="0"/>
          <w:numId w:val="25"/>
        </w:numPr>
        <w:rPr>
          <w:lang w:eastAsia="ja-JP"/>
        </w:rPr>
      </w:pPr>
      <w:r>
        <w:rPr>
          <w:b/>
          <w:bCs/>
          <w:iCs/>
        </w:rPr>
        <w:t>CAS 1 et CAS 2 </w:t>
      </w:r>
      <w:r>
        <w:rPr>
          <w:b/>
          <w:bCs/>
        </w:rPr>
        <w:t>:</w:t>
      </w:r>
      <w:r>
        <w:t xml:space="preserve"> </w:t>
      </w:r>
      <w:r>
        <w:rPr>
          <w:lang w:eastAsia="ja-JP"/>
        </w:rPr>
        <w:t>Élaboration de rapports d’audit. Les rapports d’audit seront transmis conformément aux dispositions décrites dans le guide du label « Services Publics + » (cf. 3.7 Réalisation de l’audit de</w:t>
      </w:r>
      <w:r>
        <w:rPr>
          <w:iCs/>
          <w:lang w:eastAsia="ja-JP"/>
        </w:rPr>
        <w:t xml:space="preserve"> </w:t>
      </w:r>
      <w:r>
        <w:rPr>
          <w:lang w:eastAsia="ja-JP"/>
        </w:rPr>
        <w:t>labellisation) pour chaque service public central et/ou local audité ;</w:t>
      </w:r>
    </w:p>
    <w:p>
      <w:pPr>
        <w:pStyle w:val="Paragraphedeliste"/>
        <w:numPr>
          <w:ilvl w:val="0"/>
          <w:numId w:val="25"/>
        </w:numPr>
        <w:rPr>
          <w:lang w:eastAsia="ja-JP"/>
        </w:rPr>
      </w:pPr>
      <w:r>
        <w:rPr>
          <w:rFonts w:eastAsiaTheme="majorEastAsia" w:cstheme="majorBidi"/>
          <w:b/>
          <w:bCs/>
          <w:iCs/>
          <w:szCs w:val="24"/>
          <w:u w:val="single"/>
        </w:rPr>
        <w:t>CAS 1 et CAS 2</w:t>
      </w:r>
      <w:r>
        <w:rPr>
          <w:b/>
          <w:bCs/>
        </w:rPr>
        <w:t> :</w:t>
      </w:r>
      <w:r>
        <w:t xml:space="preserve"> </w:t>
      </w:r>
      <w:r>
        <w:rPr>
          <w:lang w:eastAsia="ja-JP"/>
        </w:rPr>
        <w:t>Décision du titulaire pour chaque service public central et/ou local audité ;</w:t>
      </w:r>
    </w:p>
    <w:p>
      <w:pPr>
        <w:pStyle w:val="Paragraphedeliste"/>
        <w:numPr>
          <w:ilvl w:val="0"/>
          <w:numId w:val="25"/>
        </w:numPr>
        <w:rPr>
          <w:iCs/>
        </w:rPr>
      </w:pPr>
      <w:r>
        <w:rPr>
          <w:iCs/>
        </w:rPr>
        <w:t>Attestation(s) de labellisation le cas échéant</w:t>
      </w:r>
    </w:p>
    <w:p>
      <w:pPr>
        <w:pStyle w:val="Paragraphedeliste"/>
        <w:numPr>
          <w:ilvl w:val="1"/>
          <w:numId w:val="25"/>
        </w:numPr>
        <w:rPr>
          <w:iCs/>
        </w:rPr>
      </w:pPr>
      <w:r>
        <w:rPr>
          <w:rFonts w:eastAsiaTheme="majorEastAsia" w:cstheme="majorBidi"/>
          <w:b/>
          <w:bCs/>
          <w:iCs/>
          <w:szCs w:val="24"/>
          <w:u w:val="single"/>
        </w:rPr>
        <w:t>CAS 1</w:t>
      </w:r>
      <w:r>
        <w:rPr>
          <w:iCs/>
        </w:rPr>
        <w:t xml:space="preserve"> : une attestation de labellisation pour chacun des services publics locaux labellisé et une attestation de labellisation pour le service public central labellisé </w:t>
      </w:r>
    </w:p>
    <w:p>
      <w:pPr>
        <w:pStyle w:val="Paragraphedeliste"/>
        <w:numPr>
          <w:ilvl w:val="1"/>
          <w:numId w:val="25"/>
        </w:numPr>
        <w:rPr>
          <w:iCs/>
        </w:rPr>
      </w:pPr>
      <w:r>
        <w:rPr>
          <w:rFonts w:eastAsiaTheme="majorEastAsia" w:cstheme="majorBidi"/>
          <w:b/>
          <w:bCs/>
          <w:iCs/>
          <w:szCs w:val="24"/>
          <w:u w:val="single"/>
        </w:rPr>
        <w:t>CAS 2</w:t>
      </w:r>
      <w:r>
        <w:rPr>
          <w:iCs/>
        </w:rPr>
        <w:t xml:space="preserve"> : une attestation de labellisation pour le service public local labellisé </w:t>
      </w:r>
    </w:p>
    <w:p>
      <w:pPr>
        <w:rPr>
          <w:iCs/>
        </w:rPr>
      </w:pPr>
    </w:p>
    <w:p>
      <w:pPr>
        <w:rPr>
          <w:szCs w:val="20"/>
        </w:rPr>
      </w:pPr>
      <w:r>
        <w:rPr>
          <w:b/>
          <w:bCs/>
          <w:szCs w:val="20"/>
        </w:rPr>
        <w:t>Cette UO s’exprime en jours d’audit. Elle est déterminée au regard des dispositions prévues dans l’annexe 12 du guide du label « Services Publics + » :</w:t>
      </w:r>
      <w:r>
        <w:rPr>
          <w:szCs w:val="20"/>
        </w:rPr>
        <w:t xml:space="preserve"> </w:t>
      </w:r>
    </w:p>
    <w:p>
      <w:pPr>
        <w:pStyle w:val="Paragraphedeliste"/>
        <w:numPr>
          <w:ilvl w:val="0"/>
          <w:numId w:val="24"/>
        </w:numPr>
        <w:rPr>
          <w:iCs/>
        </w:rPr>
      </w:pPr>
      <w:r>
        <w:rPr>
          <w:iCs/>
        </w:rPr>
        <w:t xml:space="preserve">UO 2.1 pour un audit de 1.5 jour </w:t>
      </w:r>
    </w:p>
    <w:p>
      <w:pPr>
        <w:pStyle w:val="Paragraphedeliste"/>
        <w:numPr>
          <w:ilvl w:val="0"/>
          <w:numId w:val="24"/>
        </w:numPr>
        <w:rPr>
          <w:iCs/>
        </w:rPr>
      </w:pPr>
      <w:r>
        <w:rPr>
          <w:iCs/>
        </w:rPr>
        <w:t>UO 2.2 pour un audit de 2 jours</w:t>
      </w:r>
    </w:p>
    <w:p>
      <w:pPr>
        <w:pStyle w:val="Paragraphedeliste"/>
        <w:numPr>
          <w:ilvl w:val="0"/>
          <w:numId w:val="24"/>
        </w:numPr>
        <w:rPr>
          <w:iCs/>
        </w:rPr>
      </w:pPr>
      <w:r>
        <w:rPr>
          <w:iCs/>
        </w:rPr>
        <w:t>UO 2.3 pour un audit de 3 jours</w:t>
      </w:r>
    </w:p>
    <w:p>
      <w:pPr>
        <w:pStyle w:val="Paragraphedeliste"/>
        <w:numPr>
          <w:ilvl w:val="0"/>
          <w:numId w:val="24"/>
        </w:numPr>
        <w:rPr>
          <w:iCs/>
        </w:rPr>
      </w:pPr>
      <w:r>
        <w:rPr>
          <w:iCs/>
        </w:rPr>
        <w:t xml:space="preserve">UO 2.4 pour un audit de 4 jours </w:t>
      </w:r>
    </w:p>
    <w:p>
      <w:pPr>
        <w:pStyle w:val="Paragraphedeliste"/>
        <w:numPr>
          <w:ilvl w:val="0"/>
          <w:numId w:val="24"/>
        </w:numPr>
        <w:rPr>
          <w:iCs/>
        </w:rPr>
      </w:pPr>
      <w:r>
        <w:rPr>
          <w:iCs/>
        </w:rPr>
        <w:t xml:space="preserve">UO 2.5 pour un audit de 0,5 jour </w:t>
      </w:r>
      <w:r>
        <w:rPr>
          <w:iCs/>
          <w:highlight w:val="yellow"/>
        </w:rPr>
        <w:t>[service public central]</w:t>
      </w:r>
    </w:p>
    <w:p>
      <w:pPr>
        <w:rPr>
          <w:iCs/>
        </w:rPr>
      </w:pPr>
    </w:p>
    <w:p>
      <w:pPr>
        <w:pStyle w:val="Titre2"/>
      </w:pPr>
      <w:bookmarkStart w:id="16" w:name="_Toc171514179"/>
      <w:r>
        <w:t>UO 4 - PRESTATION OPTIONNELLE : FORMATION DES AUDITEURS INTERNES</w:t>
      </w:r>
      <w:bookmarkEnd w:id="16"/>
      <w:r>
        <w:t xml:space="preserve"> </w:t>
      </w:r>
    </w:p>
    <w:p>
      <w:r>
        <w:t xml:space="preserve">Pour le présent marché, l’objectif est d’assurer la formation d’auditeurs internes </w:t>
      </w:r>
      <w:r>
        <w:rPr>
          <w:highlight w:val="yellow"/>
        </w:rPr>
        <w:t>[du service public]</w:t>
      </w:r>
      <w:r>
        <w:t xml:space="preserve"> candidat selon les modalités suivantes : </w:t>
      </w:r>
      <w:r>
        <w:rPr>
          <w:highlight w:val="yellow"/>
        </w:rPr>
        <w:t>[à préciser autant que de besoin</w:t>
      </w:r>
      <w:r>
        <w:t>]</w:t>
      </w:r>
    </w:p>
    <w:p>
      <w:pPr>
        <w:rPr>
          <w:rFonts w:cs="Calibri"/>
          <w:color w:val="000000"/>
          <w:szCs w:val="20"/>
        </w:rPr>
      </w:pPr>
      <w:r>
        <w:rPr>
          <w:rFonts w:cs="Calibri"/>
          <w:color w:val="000000"/>
          <w:szCs w:val="20"/>
          <w:highlight w:val="yellow"/>
        </w:rPr>
        <w:t>X jour</w:t>
      </w:r>
      <w:r>
        <w:rPr>
          <w:rFonts w:cs="Calibri"/>
          <w:color w:val="000000"/>
          <w:szCs w:val="20"/>
        </w:rPr>
        <w:t>(s) de théorie portant sur [</w:t>
      </w:r>
      <w:r>
        <w:rPr>
          <w:rFonts w:cs="Calibri"/>
          <w:color w:val="000000"/>
          <w:szCs w:val="20"/>
          <w:highlight w:val="yellow"/>
        </w:rPr>
        <w:t>à préciser autant que besoin</w:t>
      </w:r>
      <w:r>
        <w:rPr>
          <w:rFonts w:cs="Calibri"/>
          <w:color w:val="000000"/>
          <w:szCs w:val="20"/>
        </w:rPr>
        <w:t xml:space="preserve">].  </w:t>
      </w:r>
    </w:p>
    <w:p>
      <w:r>
        <w:rPr>
          <w:lang w:eastAsia="ja-JP"/>
        </w:rPr>
        <w:t xml:space="preserve">Cette partie comprend </w:t>
      </w:r>
      <w:r>
        <w:rPr>
          <w:highlight w:val="yellow"/>
        </w:rPr>
        <w:t>[à préciser autant que de besoin</w:t>
      </w:r>
      <w:r>
        <w:t>]</w:t>
      </w:r>
    </w:p>
    <w:p>
      <w:pPr>
        <w:rPr>
          <w:lang w:eastAsia="ja-JP"/>
        </w:rPr>
      </w:pPr>
      <w:r>
        <w:rPr>
          <w:lang w:eastAsia="ja-JP"/>
        </w:rPr>
        <w:t xml:space="preserve">La session de formation est organisée dans les locaux </w:t>
      </w:r>
      <w:r>
        <w:rPr>
          <w:highlight w:val="yellow"/>
          <w:lang w:eastAsia="ja-JP"/>
        </w:rPr>
        <w:t>XXX</w:t>
      </w:r>
      <w:r>
        <w:rPr>
          <w:lang w:eastAsia="ja-JP"/>
        </w:rPr>
        <w:t xml:space="preserve"> et réunit au maximum </w:t>
      </w:r>
      <w:r>
        <w:rPr>
          <w:highlight w:val="yellow"/>
          <w:lang w:eastAsia="ja-JP"/>
        </w:rPr>
        <w:t>XX</w:t>
      </w:r>
      <w:r>
        <w:rPr>
          <w:lang w:eastAsia="ja-JP"/>
        </w:rPr>
        <w:t xml:space="preserve"> participants. </w:t>
      </w:r>
    </w:p>
    <w:p>
      <w:r>
        <w:t xml:space="preserve">L’organisation des sessions fait alors l’objet d’une concertation entre </w:t>
      </w:r>
      <w:r>
        <w:rPr>
          <w:highlight w:val="yellow"/>
        </w:rPr>
        <w:t>[nom du service public]</w:t>
      </w:r>
      <w:r>
        <w:t xml:space="preserve"> et le titulaire. </w:t>
      </w:r>
    </w:p>
    <w:p>
      <w:pPr>
        <w:rPr>
          <w:sz w:val="22"/>
        </w:rPr>
      </w:pPr>
      <w:r>
        <w:rPr>
          <w:highlight w:val="yellow"/>
        </w:rPr>
        <w:t>[</w:t>
      </w:r>
      <w:proofErr w:type="gramStart"/>
      <w:r>
        <w:rPr>
          <w:highlight w:val="yellow"/>
        </w:rPr>
        <w:t>nom</w:t>
      </w:r>
      <w:proofErr w:type="gramEnd"/>
      <w:r>
        <w:rPr>
          <w:highlight w:val="yellow"/>
        </w:rPr>
        <w:t xml:space="preserve"> du service public] </w:t>
      </w:r>
      <w:r>
        <w:t>se réserve le droit de réaliser lui-même cette prestation si elle dispose des capacités internes et notamment de formateurs</w:t>
      </w:r>
      <w:r>
        <w:rPr>
          <w:sz w:val="22"/>
        </w:rPr>
        <w:t xml:space="preserve"> relais. </w:t>
      </w:r>
    </w:p>
    <w:p>
      <w:r>
        <w:t>Les livrables pour une session de formation sont les suivants :</w:t>
      </w:r>
    </w:p>
    <w:p>
      <w:pPr>
        <w:pStyle w:val="Paragraphedeliste"/>
        <w:numPr>
          <w:ilvl w:val="0"/>
          <w:numId w:val="21"/>
        </w:numPr>
      </w:pPr>
      <w:r>
        <w:t>Les supports de formation</w:t>
      </w:r>
    </w:p>
    <w:p>
      <w:pPr>
        <w:pStyle w:val="Paragraphedeliste"/>
        <w:numPr>
          <w:ilvl w:val="0"/>
          <w:numId w:val="21"/>
        </w:numPr>
      </w:pPr>
      <w:r>
        <w:t xml:space="preserve">Le mémento pour les stagiaires comprenant </w:t>
      </w:r>
      <w:proofErr w:type="gramStart"/>
      <w:r>
        <w:t>a</w:t>
      </w:r>
      <w:proofErr w:type="gramEnd"/>
      <w:r>
        <w:t xml:space="preserve"> minima </w:t>
      </w:r>
      <w:r>
        <w:rPr>
          <w:highlight w:val="yellow"/>
        </w:rPr>
        <w:t>[à préciser]</w:t>
      </w:r>
      <w:r>
        <w:t xml:space="preserve"> </w:t>
      </w:r>
    </w:p>
    <w:p>
      <w:pPr>
        <w:pStyle w:val="Paragraphedeliste"/>
        <w:numPr>
          <w:ilvl w:val="0"/>
          <w:numId w:val="21"/>
        </w:numPr>
      </w:pPr>
      <w:r>
        <w:t>Un compte-rendu de formation comprenant notamment l’évaluation des stagiaires</w:t>
      </w:r>
    </w:p>
    <w:p>
      <w:pPr>
        <w:pStyle w:val="Paragraphedeliste"/>
        <w:numPr>
          <w:ilvl w:val="0"/>
          <w:numId w:val="21"/>
        </w:numPr>
      </w:pPr>
      <w:r>
        <w:t>[</w:t>
      </w:r>
      <w:proofErr w:type="gramStart"/>
      <w:r>
        <w:rPr>
          <w:highlight w:val="yellow"/>
        </w:rPr>
        <w:t>à</w:t>
      </w:r>
      <w:proofErr w:type="gramEnd"/>
      <w:r>
        <w:rPr>
          <w:highlight w:val="yellow"/>
        </w:rPr>
        <w:t xml:space="preserve"> préciser autant que de besoin].</w:t>
      </w:r>
      <w:r>
        <w:t xml:space="preserve">  </w:t>
      </w:r>
    </w:p>
    <w:p>
      <w:r>
        <w:t xml:space="preserve">Les listes d’émargement et le compte-rendu de la formation assurée seront transmis </w:t>
      </w:r>
      <w:r>
        <w:rPr>
          <w:highlight w:val="yellow"/>
        </w:rPr>
        <w:t>[au service public / identification de la personne référente</w:t>
      </w:r>
      <w:r>
        <w:t xml:space="preserve">] dans un délai de </w:t>
      </w:r>
      <w:r>
        <w:rPr>
          <w:highlight w:val="yellow"/>
        </w:rPr>
        <w:t>XX jours</w:t>
      </w:r>
      <w:r>
        <w:t xml:space="preserve"> ouvrés suivant le dernier jour de la prestation. </w:t>
      </w:r>
    </w:p>
    <w:p/>
    <w:p>
      <w:pPr>
        <w:rPr>
          <w:szCs w:val="20"/>
        </w:rPr>
      </w:pPr>
      <w:r>
        <w:rPr>
          <w:b/>
          <w:bCs/>
          <w:szCs w:val="20"/>
        </w:rPr>
        <w:t xml:space="preserve">Cette UO représente </w:t>
      </w:r>
      <w:r>
        <w:rPr>
          <w:b/>
          <w:bCs/>
          <w:szCs w:val="20"/>
          <w:highlight w:val="yellow"/>
        </w:rPr>
        <w:t>X journée(s) de formation</w:t>
      </w:r>
      <w:r>
        <w:rPr>
          <w:szCs w:val="20"/>
        </w:rPr>
        <w:t>. Elle est mobilisée en fonction de sa complexité et sa durée d’intervention.</w:t>
      </w:r>
    </w:p>
    <w:p/>
    <w:p/>
    <w:p>
      <w:pPr>
        <w:pStyle w:val="Titre2"/>
      </w:pPr>
      <w:bookmarkStart w:id="17" w:name="_Toc138422707"/>
      <w:bookmarkStart w:id="18" w:name="_Toc171514180"/>
      <w:r>
        <w:t>UO Annexes - Frais de déplacement</w:t>
      </w:r>
      <w:bookmarkEnd w:id="17"/>
      <w:bookmarkEnd w:id="18"/>
    </w:p>
    <w:p>
      <w:pPr>
        <w:rPr>
          <w:lang w:eastAsia="ja-JP"/>
        </w:rPr>
      </w:pPr>
      <w:r>
        <w:rPr>
          <w:lang w:eastAsia="ja-JP"/>
        </w:rPr>
        <w:t>Les frais de déplacement tiennent compte de l’ensemble des dépenses journalières relatives aux transports et à l’hébergement d’un intervenant du titulaire.</w:t>
      </w:r>
    </w:p>
    <w:p>
      <w:pPr>
        <w:rPr>
          <w:lang w:eastAsia="ja-JP"/>
        </w:rPr>
      </w:pPr>
      <w:r>
        <w:rPr>
          <w:lang w:eastAsia="ja-JP"/>
        </w:rPr>
        <w:t>Les conditions de prise en charge, par l’administration commanditaire, des frais de déplacement sont les suivantes :</w:t>
      </w:r>
    </w:p>
    <w:p>
      <w:pPr>
        <w:rPr>
          <w:lang w:eastAsia="ja-JP"/>
        </w:rPr>
      </w:pPr>
    </w:p>
    <w:p>
      <w:pPr>
        <w:pStyle w:val="Titre3"/>
        <w:numPr>
          <w:ilvl w:val="0"/>
          <w:numId w:val="0"/>
        </w:numPr>
        <w:spacing w:before="120"/>
        <w:ind w:firstLine="283"/>
        <w:rPr>
          <w:rFonts w:eastAsia="Times New Roman"/>
          <w:b/>
          <w:bCs/>
          <w:i w:val="0"/>
          <w:szCs w:val="20"/>
          <w:u w:val="none"/>
          <w:lang w:eastAsia="ja-JP"/>
        </w:rPr>
      </w:pPr>
      <w:bookmarkStart w:id="19" w:name="_Toc171514181"/>
      <w:r>
        <w:rPr>
          <w:rFonts w:eastAsia="Times New Roman"/>
          <w:i w:val="0"/>
          <w:iCs/>
          <w:szCs w:val="20"/>
          <w:u w:val="none"/>
          <w:lang w:eastAsia="ja-JP"/>
        </w:rPr>
        <w:t xml:space="preserve">UO annexe-1 </w:t>
      </w:r>
      <w:r>
        <w:rPr>
          <w:rFonts w:eastAsia="Times New Roman"/>
          <w:b/>
          <w:bCs/>
          <w:i w:val="0"/>
          <w:iCs/>
          <w:szCs w:val="20"/>
          <w:u w:val="none"/>
          <w:lang w:eastAsia="ja-JP"/>
        </w:rPr>
        <w:t>Frais de déplacement survenant en dehors de la région de résidence</w:t>
      </w:r>
      <w:bookmarkEnd w:id="19"/>
    </w:p>
    <w:p>
      <w:pPr>
        <w:rPr>
          <w:szCs w:val="20"/>
          <w:lang w:eastAsia="ja-JP"/>
        </w:rPr>
      </w:pPr>
      <w:r>
        <w:rPr>
          <w:szCs w:val="20"/>
          <w:lang w:eastAsia="ja-JP"/>
        </w:rPr>
        <w:t>Pour les frais de déplacement survenant en dehors de la région de résidence de l’intervenant, le prix est librement défini par le titulaire dans la limite d’un plafond fixé à 150€HT par jour. Ce forfait journalier s’applique en fonction du nombre de jours travaillés et non en fonction du nombre de nuitées passées sur place. Ainsi, un aller-retour sans nuitée donne lieu à la tarification du forfait.</w:t>
      </w:r>
    </w:p>
    <w:p>
      <w:pPr>
        <w:rPr>
          <w:lang w:eastAsia="ja-JP"/>
        </w:rPr>
      </w:pPr>
    </w:p>
    <w:p>
      <w:pPr>
        <w:pStyle w:val="Titre3"/>
        <w:numPr>
          <w:ilvl w:val="0"/>
          <w:numId w:val="0"/>
        </w:numPr>
        <w:spacing w:before="120"/>
        <w:ind w:firstLine="283"/>
        <w:rPr>
          <w:rFonts w:eastAsia="Times New Roman"/>
          <w:b/>
          <w:bCs/>
          <w:i w:val="0"/>
          <w:szCs w:val="20"/>
          <w:u w:val="none"/>
          <w:lang w:eastAsia="ja-JP"/>
        </w:rPr>
      </w:pPr>
      <w:bookmarkStart w:id="20" w:name="_Toc156551579"/>
      <w:bookmarkStart w:id="21" w:name="_Toc171514182"/>
      <w:r>
        <w:rPr>
          <w:rFonts w:eastAsia="Times New Roman"/>
          <w:i w:val="0"/>
          <w:iCs/>
          <w:szCs w:val="20"/>
          <w:u w:val="none"/>
          <w:lang w:eastAsia="ja-JP"/>
        </w:rPr>
        <w:t xml:space="preserve">UO annexe-2 </w:t>
      </w:r>
      <w:r>
        <w:rPr>
          <w:rFonts w:eastAsia="Times New Roman"/>
          <w:b/>
          <w:bCs/>
          <w:i w:val="0"/>
          <w:iCs/>
          <w:szCs w:val="20"/>
          <w:u w:val="none"/>
          <w:lang w:eastAsia="ja-JP"/>
        </w:rPr>
        <w:t>frais de déplacement survenant en dehors de la métropole</w:t>
      </w:r>
      <w:bookmarkEnd w:id="20"/>
      <w:bookmarkEnd w:id="21"/>
    </w:p>
    <w:p>
      <w:pPr>
        <w:rPr>
          <w:szCs w:val="20"/>
          <w:lang w:eastAsia="ja-JP"/>
        </w:rPr>
      </w:pPr>
      <w:r>
        <w:rPr>
          <w:szCs w:val="20"/>
          <w:lang w:eastAsia="ja-JP"/>
        </w:rPr>
        <w:t xml:space="preserve">Pour les frais de déplacement survenant en dehors de la métropole, le Titulaire communique un devis soumis à la validation de l’administration commanditaire. Les frais de déplacement seront réglés sur la base des éléments suivants : </w:t>
      </w:r>
    </w:p>
    <w:p>
      <w:pPr>
        <w:pStyle w:val="Paragraphedeliste"/>
        <w:numPr>
          <w:ilvl w:val="0"/>
          <w:numId w:val="22"/>
        </w:numPr>
        <w:rPr>
          <w:szCs w:val="20"/>
          <w:lang w:eastAsia="ja-JP"/>
        </w:rPr>
      </w:pPr>
      <w:r>
        <w:rPr>
          <w:lang w:eastAsia="ja-JP"/>
        </w:rPr>
        <w:t xml:space="preserve"> Des justificatifs communiqués par le titulaire ; </w:t>
      </w:r>
    </w:p>
    <w:p>
      <w:pPr>
        <w:pStyle w:val="Paragraphedeliste"/>
        <w:numPr>
          <w:ilvl w:val="0"/>
          <w:numId w:val="22"/>
        </w:numPr>
        <w:rPr>
          <w:lang w:eastAsia="ja-JP"/>
        </w:rPr>
      </w:pPr>
      <w:r>
        <w:rPr>
          <w:lang w:eastAsia="ja-JP"/>
        </w:rPr>
        <w:t xml:space="preserve">Pour les titres de transport (billet), des frais réellement engagés ; </w:t>
      </w:r>
    </w:p>
    <w:p>
      <w:pPr>
        <w:pStyle w:val="Paragraphedeliste"/>
        <w:numPr>
          <w:ilvl w:val="0"/>
          <w:numId w:val="22"/>
        </w:numPr>
        <w:rPr>
          <w:lang w:eastAsia="ja-JP"/>
        </w:rPr>
      </w:pPr>
      <w:r>
        <w:rPr>
          <w:lang w:eastAsia="ja-JP"/>
        </w:rPr>
        <w:t xml:space="preserve">Pour l’hébergement et le transport local sur place, le forfait de l’UO Annexe-1 s’applique en complément ; </w:t>
      </w:r>
    </w:p>
    <w:p>
      <w:pPr>
        <w:pStyle w:val="Paragraphedeliste"/>
        <w:numPr>
          <w:ilvl w:val="0"/>
          <w:numId w:val="22"/>
        </w:numPr>
        <w:rPr>
          <w:highlight w:val="yellow"/>
          <w:lang w:eastAsia="ja-JP"/>
        </w:rPr>
      </w:pPr>
      <w:r>
        <w:rPr>
          <w:highlight w:val="yellow"/>
          <w:lang w:eastAsia="ja-JP"/>
        </w:rPr>
        <w:t>Sur la base des textes fixant les conditions et les modalités de règlement des frais occasionnés par les déplacements temporaires des personnels civils de l'État - tarifs appliqués dans le cadre de la politique voyage de l’État. (À adapter en fonction de la politique voyage du SP)</w:t>
      </w:r>
    </w:p>
    <w:p>
      <w:pPr>
        <w:pStyle w:val="Titre1"/>
      </w:pPr>
      <w:bookmarkStart w:id="22" w:name="_Toc171514183"/>
      <w:r>
        <w:t>Clause environnementale</w:t>
      </w:r>
      <w:bookmarkEnd w:id="22"/>
    </w:p>
    <w:p>
      <w:pPr>
        <w:pStyle w:val="Corpsdetexte"/>
        <w:rPr>
          <w:lang w:eastAsia="ja-JP"/>
        </w:rPr>
      </w:pPr>
      <w:r>
        <w:rPr>
          <w:lang w:eastAsia="ja-JP"/>
        </w:rPr>
        <w:t>L’acheteur, soucieux de s’engager dans une démarche de développement durable, porte une attention particulière aux dispositions prises en faveur de la protection de l’environnement. Tous les documents livrables doivent être mis à disposition de préférence au format dématérialisé (format PDF ou équivalent) et/ou sur des supports en papier recyclé ou écolabellisé garantissant l'usage d'un bois issu de forêts gérées durablement (exemples : label FCS, PEFC ou équivalent). Le titulaire doit s’attacher à favoriser, dans la mesure du possible, la limitation des émissions de gaz à effet de serre (transports, approvisionnements, titulaires, consommation d'énergie).</w:t>
      </w:r>
    </w:p>
    <w:p>
      <w:pPr>
        <w:pStyle w:val="Titre1"/>
      </w:pPr>
      <w:bookmarkStart w:id="23" w:name="_Toc171514184"/>
      <w:r>
        <w:t>Qualité des documents</w:t>
      </w:r>
      <w:bookmarkEnd w:id="23"/>
    </w:p>
    <w:p>
      <w:pPr>
        <w:pStyle w:val="Corpsdetexte"/>
        <w:rPr>
          <w:lang w:eastAsia="ja-JP"/>
        </w:rPr>
      </w:pPr>
      <w:r>
        <w:rPr>
          <w:lang w:eastAsia="ja-JP"/>
        </w:rPr>
        <w:t xml:space="preserve">Les documents fournis doivent être rédigés en langue française dans un style clair et accessible en vue de la diffusion la plus large possible, y compris dans la perspective d’une éventuelle publication ou diffusion. Le titulaire s’engage à effectuer une relecture attentive des documents, afin d’en éliminer les erreurs typographiques et orthographiques. Les grilles d’analyse réalisées au cours des audits doivent être remplies avec sérieux. </w:t>
      </w:r>
    </w:p>
    <w:p>
      <w:pPr>
        <w:spacing w:before="0" w:after="200" w:line="276" w:lineRule="auto"/>
        <w:jc w:val="left"/>
        <w:rPr>
          <w:rFonts w:eastAsia="MS PMincho"/>
          <w:b/>
          <w:bCs/>
          <w:caps/>
          <w:kern w:val="22"/>
          <w:szCs w:val="48"/>
          <w:lang w:eastAsia="ja-JP"/>
        </w:rPr>
      </w:pPr>
      <w:r>
        <w:br w:type="page"/>
      </w:r>
    </w:p>
    <w:p>
      <w:pPr>
        <w:pStyle w:val="Titre1"/>
        <w:numPr>
          <w:ilvl w:val="0"/>
          <w:numId w:val="0"/>
        </w:numPr>
        <w:ind w:left="283"/>
        <w:jc w:val="center"/>
      </w:pPr>
      <w:bookmarkStart w:id="24" w:name="_Toc171514185"/>
      <w:r>
        <w:t>Chapitre III – Clauses administratives</w:t>
      </w:r>
      <w:bookmarkEnd w:id="24"/>
    </w:p>
    <w:p>
      <w:pPr>
        <w:pStyle w:val="Titre1"/>
      </w:pPr>
      <w:bookmarkStart w:id="25" w:name="_Toc124763379"/>
      <w:bookmarkStart w:id="26" w:name="_Toc171514186"/>
      <w:r>
        <w:t>MODALITES D'EXECUTION DES PRESTATIONS</w:t>
      </w:r>
      <w:bookmarkEnd w:id="25"/>
      <w:bookmarkEnd w:id="26"/>
    </w:p>
    <w:p>
      <w:pPr>
        <w:pStyle w:val="Titre2"/>
      </w:pPr>
      <w:bookmarkStart w:id="27" w:name="_Toc124763380"/>
      <w:bookmarkStart w:id="28" w:name="_Toc171514187"/>
      <w:r>
        <w:t>Représentation des parties</w:t>
      </w:r>
      <w:bookmarkEnd w:id="27"/>
      <w:bookmarkEnd w:id="28"/>
    </w:p>
    <w:p>
      <w:pPr>
        <w:pStyle w:val="Titre3"/>
        <w:rPr>
          <w:lang w:eastAsia="ja-JP"/>
        </w:rPr>
      </w:pPr>
      <w:bookmarkStart w:id="29" w:name="_Toc124763381"/>
      <w:bookmarkStart w:id="30" w:name="_Toc171514188"/>
      <w:r>
        <w:rPr>
          <w:lang w:eastAsia="ja-JP"/>
        </w:rPr>
        <w:t>Représentation de l'administration</w:t>
      </w:r>
      <w:bookmarkEnd w:id="29"/>
      <w:bookmarkEnd w:id="30"/>
    </w:p>
    <w:p>
      <w:pPr>
        <w:rPr>
          <w:lang w:eastAsia="ja-JP"/>
        </w:rPr>
      </w:pPr>
      <w:r>
        <w:rPr>
          <w:lang w:eastAsia="ja-JP"/>
        </w:rPr>
        <w:t>Dès la notification de l’accord cadre, l’acheteur désigne une ou plusieurs personnes physiques, habilitées à le représenter auprès du titulaire, pour les besoins de l'exécution de l’accord cadre. D'autres personnes physiques peuvent être habilitées par l’administration en cours d'exécution de l’accord cadre.</w:t>
      </w:r>
    </w:p>
    <w:p>
      <w:pPr>
        <w:rPr>
          <w:lang w:eastAsia="ja-JP"/>
        </w:rPr>
      </w:pPr>
      <w:r>
        <w:rPr>
          <w:lang w:eastAsia="ja-JP"/>
        </w:rPr>
        <w:t>L’acheteur notifie toute modification de(s) interlocuteur(s) désignés au titulaire.</w:t>
      </w:r>
    </w:p>
    <w:p>
      <w:pPr>
        <w:pStyle w:val="Titre3"/>
        <w:rPr>
          <w:lang w:eastAsia="ja-JP"/>
        </w:rPr>
      </w:pPr>
      <w:bookmarkStart w:id="31" w:name="_Toc124763382"/>
      <w:bookmarkStart w:id="32" w:name="_Toc171514189"/>
      <w:r>
        <w:rPr>
          <w:lang w:eastAsia="ja-JP"/>
        </w:rPr>
        <w:t>Représentation du titulaire</w:t>
      </w:r>
      <w:bookmarkEnd w:id="31"/>
      <w:bookmarkEnd w:id="32"/>
      <w:r>
        <w:rPr>
          <w:lang w:eastAsia="ja-JP"/>
        </w:rPr>
        <w:t xml:space="preserve"> </w:t>
      </w:r>
    </w:p>
    <w:p>
      <w:pPr>
        <w:rPr>
          <w:lang w:eastAsia="ja-JP"/>
        </w:rPr>
      </w:pPr>
      <w:r>
        <w:rPr>
          <w:lang w:eastAsia="ja-JP"/>
        </w:rPr>
        <w:t>Le titulaire désigne plusieurs interlocuteurs, habilités à le représenter auprès de l'acheteur, pour les besoins de l'exécution du marché. Ces interlocuteurs sont désignés par dérogation au CCAG de référence, dans l'offre du titulaire. Le titulaire désigne :</w:t>
      </w:r>
    </w:p>
    <w:p>
      <w:pPr>
        <w:pStyle w:val="Paragraphedeliste"/>
        <w:numPr>
          <w:ilvl w:val="0"/>
          <w:numId w:val="3"/>
        </w:numPr>
        <w:rPr>
          <w:lang w:eastAsia="ja-JP"/>
        </w:rPr>
      </w:pPr>
      <w:proofErr w:type="gramStart"/>
      <w:r>
        <w:rPr>
          <w:lang w:eastAsia="ja-JP"/>
        </w:rPr>
        <w:t>un</w:t>
      </w:r>
      <w:proofErr w:type="gramEnd"/>
      <w:r>
        <w:rPr>
          <w:lang w:eastAsia="ja-JP"/>
        </w:rPr>
        <w:t xml:space="preserve"> correspondant permanent identique à celui présenté dans son offre. Ce correspondant a pour mission de veiller à la bonne exécution des prestations effectuées dans le cadre du présent marché. </w:t>
      </w:r>
    </w:p>
    <w:p>
      <w:pPr>
        <w:pStyle w:val="Paragraphedeliste"/>
        <w:numPr>
          <w:ilvl w:val="0"/>
          <w:numId w:val="3"/>
        </w:numPr>
        <w:rPr>
          <w:lang w:eastAsia="ja-JP"/>
        </w:rPr>
      </w:pPr>
      <w:proofErr w:type="gramStart"/>
      <w:r>
        <w:rPr>
          <w:lang w:eastAsia="ja-JP"/>
        </w:rPr>
        <w:t>un</w:t>
      </w:r>
      <w:proofErr w:type="gramEnd"/>
      <w:r>
        <w:rPr>
          <w:lang w:eastAsia="ja-JP"/>
        </w:rPr>
        <w:t xml:space="preserve"> correspondant chargé du suivi administratif du marché, notamment pour la gestion des commandes et des facturations.</w:t>
      </w:r>
    </w:p>
    <w:p>
      <w:pPr>
        <w:rPr>
          <w:lang w:eastAsia="ja-JP"/>
        </w:rPr>
      </w:pPr>
      <w:r>
        <w:rPr>
          <w:lang w:eastAsia="ja-JP"/>
        </w:rPr>
        <w:t>Le titulaire s’engage à mettre en place une équipe de personnes compétentes dont il s’efforce d’assurer la pérennité pendant toute la durée du marché. En tout état de cause, il appartient au titulaire de maintenir, pendant toute la durée du marché et sans interruption, un niveau constant de compétence des intervenants et de la qualité des prestations, conformément aux niveaux prévus dans son offre.</w:t>
      </w:r>
    </w:p>
    <w:p>
      <w:pPr>
        <w:rPr>
          <w:lang w:eastAsia="ja-JP"/>
        </w:rPr>
      </w:pPr>
      <w:r>
        <w:rPr>
          <w:lang w:eastAsia="ja-JP"/>
        </w:rPr>
        <w:t>Si l’interlocuteur référent est indisponible, le titulaire s’engage à mettre à disposition un autre interlocuteur conformément au présent CCP pour suivre les projets en cours et assurer les nouvelles demandes de l’administration.</w:t>
      </w:r>
    </w:p>
    <w:p>
      <w:pPr>
        <w:pStyle w:val="Titre2"/>
      </w:pPr>
      <w:bookmarkStart w:id="33" w:name="_Toc124763383"/>
      <w:bookmarkStart w:id="34" w:name="_Toc171514190"/>
      <w:r>
        <w:t>Conditions d'exécution</w:t>
      </w:r>
      <w:bookmarkEnd w:id="33"/>
      <w:bookmarkEnd w:id="34"/>
    </w:p>
    <w:p>
      <w:pPr>
        <w:pStyle w:val="Titre3"/>
        <w:rPr>
          <w:lang w:eastAsia="ja-JP"/>
        </w:rPr>
      </w:pPr>
      <w:bookmarkStart w:id="35" w:name="_Toc124763384"/>
      <w:bookmarkStart w:id="36" w:name="_Toc171514191"/>
      <w:r>
        <w:rPr>
          <w:lang w:eastAsia="ja-JP"/>
        </w:rPr>
        <w:t>Mise en place de l'équipe technique</w:t>
      </w:r>
      <w:bookmarkEnd w:id="35"/>
      <w:bookmarkEnd w:id="36"/>
    </w:p>
    <w:p>
      <w:pPr>
        <w:rPr>
          <w:lang w:eastAsia="ja-JP"/>
        </w:rPr>
      </w:pPr>
      <w:r>
        <w:rPr>
          <w:lang w:eastAsia="ja-JP"/>
        </w:rPr>
        <w:t>Le titulaire s'engage à mettre en place, pendant toute la durée du marché, des intervenants dont les profils doivent impérativement respecter ceux mentionnés dans la composition de l'équipe affectée à la prestation (représentants du titulaire et son équipe) laquelle figure dans son offre technique.</w:t>
      </w:r>
    </w:p>
    <w:p>
      <w:pPr>
        <w:pStyle w:val="Titre3"/>
        <w:rPr>
          <w:lang w:eastAsia="ja-JP"/>
        </w:rPr>
      </w:pPr>
      <w:bookmarkStart w:id="37" w:name="_Toc124763385"/>
      <w:bookmarkStart w:id="38" w:name="_Toc171514192"/>
      <w:r>
        <w:rPr>
          <w:lang w:eastAsia="ja-JP"/>
        </w:rPr>
        <w:t>Identification du titulaire</w:t>
      </w:r>
      <w:bookmarkEnd w:id="37"/>
      <w:bookmarkEnd w:id="38"/>
    </w:p>
    <w:p>
      <w:pPr>
        <w:rPr>
          <w:lang w:eastAsia="ja-JP"/>
        </w:rPr>
      </w:pPr>
      <w:r>
        <w:rPr>
          <w:lang w:eastAsia="ja-JP"/>
        </w:rPr>
        <w:t>Le service responsable du pilotage de la prestation s'engage à ne pas fournir aux intervenants du titulaire d'adresse de messagerie pouvant créer une confusion avec celles des agents de sa structure.</w:t>
      </w:r>
    </w:p>
    <w:p>
      <w:pPr>
        <w:rPr>
          <w:lang w:eastAsia="ja-JP"/>
        </w:rPr>
      </w:pPr>
      <w:r>
        <w:rPr>
          <w:lang w:eastAsia="ja-JP"/>
        </w:rPr>
        <w:t>Le titulaire s'engage à ce que tous les intervenants fassent apparaître dans leur signature, de manière claire, lisible et non-équivoque, leur qualité de prestataire, le nom de l'entreprise qui les emploie et la dénomination de l'administration qui les a mandatés pour la mission qu'ils conduisent.</w:t>
      </w:r>
    </w:p>
    <w:p>
      <w:pPr>
        <w:rPr>
          <w:lang w:eastAsia="ja-JP"/>
        </w:rPr>
      </w:pPr>
      <w:r>
        <w:rPr>
          <w:lang w:eastAsia="ja-JP"/>
        </w:rPr>
        <w:t>Dans le cadre de leurs missions, les prestataires doivent impérativement utiliser cette signature dans tous leurs échanges électroniques tant avec l'administration bénéficiaire qu'avec des tiers.</w:t>
      </w:r>
    </w:p>
    <w:p>
      <w:pPr>
        <w:rPr>
          <w:lang w:eastAsia="ja-JP"/>
        </w:rPr>
      </w:pPr>
      <w:r>
        <w:rPr>
          <w:lang w:eastAsia="ja-JP"/>
        </w:rPr>
        <w:t>A l'occasion de présentations en réunion, l'identification des prestataires doit également être claire et non-équivoque.</w:t>
      </w:r>
    </w:p>
    <w:p>
      <w:pPr>
        <w:pStyle w:val="Titre3"/>
        <w:rPr>
          <w:lang w:eastAsia="ja-JP"/>
        </w:rPr>
      </w:pPr>
      <w:bookmarkStart w:id="39" w:name="_Toc124763386"/>
      <w:bookmarkStart w:id="40" w:name="_Toc171514193"/>
      <w:r>
        <w:rPr>
          <w:lang w:eastAsia="ja-JP"/>
        </w:rPr>
        <w:t>Remplacement des intervenants</w:t>
      </w:r>
      <w:bookmarkEnd w:id="39"/>
      <w:bookmarkEnd w:id="40"/>
    </w:p>
    <w:p>
      <w:pPr>
        <w:rPr>
          <w:lang w:eastAsia="ja-JP"/>
        </w:rPr>
      </w:pPr>
      <w:r>
        <w:rPr>
          <w:lang w:eastAsia="ja-JP"/>
        </w:rPr>
        <w:t>Pendant toute la durée d'exécution d’une commande, le titulaire maintient l’équipe dédiée proposée dans son offre.</w:t>
      </w:r>
    </w:p>
    <w:p>
      <w:pPr>
        <w:rPr>
          <w:lang w:eastAsia="ja-JP"/>
        </w:rPr>
      </w:pPr>
      <w:r>
        <w:rPr>
          <w:lang w:eastAsia="ja-JP"/>
        </w:rPr>
        <w:t>Au cours d’une prestation, en cas de départ ou d’indisponibilité d'un ou de plusieurs de ses intervenants, le titulaire doit en proposer le remplacement. Pour tout remplacement dans son équipe, il doit présenter immédiatement à l’acheteur un collaborateur avec un profil équivalent à celui indiqué dans son offre. Il communique à la personne publique les profils et compétences de la nouvelle équipe et/ou de la nouvelle organisation et prend toutes les dispositions nécessaires pour que la bonne exécution des prestations ne s’en trouve pas compromise. Le titulaire s’engage à assurer la formation de tout remplaçant.</w:t>
      </w:r>
    </w:p>
    <w:p>
      <w:pPr>
        <w:rPr>
          <w:lang w:eastAsia="ja-JP"/>
        </w:rPr>
      </w:pPr>
      <w:proofErr w:type="gramStart"/>
      <w:r>
        <w:rPr>
          <w:lang w:eastAsia="ja-JP"/>
        </w:rPr>
        <w:t>A tout moment</w:t>
      </w:r>
      <w:proofErr w:type="gramEnd"/>
      <w:r>
        <w:rPr>
          <w:lang w:eastAsia="ja-JP"/>
        </w:rPr>
        <w:t xml:space="preserve">, l’acheteur a la possibilité de demander le changement d’un membre de l’équipe du titulaire. L’acheteur informe le titulaire par écrit des motifs de cette demande.  </w:t>
      </w:r>
    </w:p>
    <w:p>
      <w:pPr>
        <w:rPr>
          <w:lang w:eastAsia="ja-JP"/>
        </w:rPr>
      </w:pPr>
      <w:r>
        <w:rPr>
          <w:lang w:eastAsia="ja-JP"/>
        </w:rPr>
        <w:t>Dans l’ensemble de ces cas, le titulaire propose à l’acheteur, dans les 10 jours calendaires avant la prise d’effet de la modification, d’intégration ou de départ d’un intervenant, ou 10 jours calendaires suivants la demande de remplacement, un profil équivalent qui est soumis à son approbation. En cas de retard, le titulaire encourt des pénalités conformément à celles indiquées dans le présent document. En cas de non proposition de remplaçant successive et répétée par le titulaire ou en cas de trois récusations successives motivées par l'acheteur, le marché peut être résilié pour faute du titulaire.</w:t>
      </w:r>
    </w:p>
    <w:p>
      <w:pPr>
        <w:rPr>
          <w:lang w:eastAsia="ja-JP"/>
        </w:rPr>
      </w:pPr>
      <w:r>
        <w:rPr>
          <w:lang w:eastAsia="ja-JP"/>
        </w:rPr>
        <w:t>En aucun cas le remplacement du personnel ne pourra justifier une augmentation du montant des prestations.</w:t>
      </w:r>
    </w:p>
    <w:p>
      <w:pPr>
        <w:pStyle w:val="Titre3"/>
        <w:rPr>
          <w:lang w:eastAsia="ja-JP"/>
        </w:rPr>
      </w:pPr>
      <w:bookmarkStart w:id="41" w:name="_Toc124763387"/>
      <w:bookmarkStart w:id="42" w:name="_Toc171514194"/>
      <w:r>
        <w:rPr>
          <w:lang w:eastAsia="ja-JP"/>
        </w:rPr>
        <w:t>Exigences relatives aux prestations</w:t>
      </w:r>
      <w:bookmarkEnd w:id="41"/>
      <w:bookmarkEnd w:id="42"/>
      <w:r>
        <w:rPr>
          <w:lang w:eastAsia="ja-JP"/>
        </w:rPr>
        <w:t xml:space="preserve"> </w:t>
      </w:r>
    </w:p>
    <w:p>
      <w:pPr>
        <w:rPr>
          <w:lang w:eastAsia="ja-JP"/>
        </w:rPr>
      </w:pPr>
      <w:r>
        <w:rPr>
          <w:lang w:eastAsia="ja-JP"/>
        </w:rPr>
        <w:t>L’administration s’engage à mettre à disposition du titulaire les informations en sa possession nécessaires pour mener à bien les prestations décrites conformément aux décisions prises lors de la réunion de lancement.</w:t>
      </w:r>
    </w:p>
    <w:p>
      <w:pPr>
        <w:rPr>
          <w:lang w:eastAsia="ja-JP"/>
        </w:rPr>
      </w:pPr>
      <w:r>
        <w:rPr>
          <w:lang w:eastAsia="ja-JP"/>
        </w:rPr>
        <w:t>Le titulaire est responsable de tout élément qui lui est confié. Il ne peut en disposer qu'aux fins prévues par le marché. Il est notamment responsable de la conservation, de l'entretien et de l'emploi de tout matériel, objet, données numériques ou approvisionnement qui lui est confié dès que ce matériel, objet, données numériques ou approvisionnement est mis effectivement à sa disposition. Il ne peut en disposer qu'aux fins prévues par le présent marché.</w:t>
      </w:r>
    </w:p>
    <w:p>
      <w:r>
        <w:t xml:space="preserve">Le titulaire applique et fait appliquer à ses sous-traitants éventuels les clauses de sécurité du présent marché. </w:t>
      </w:r>
    </w:p>
    <w:p>
      <w:pPr>
        <w:pStyle w:val="Titre2"/>
      </w:pPr>
      <w:bookmarkStart w:id="43" w:name="_Toc124763388"/>
      <w:bookmarkStart w:id="44" w:name="_Toc171514195"/>
      <w:r>
        <w:t>Obligations du titulaire</w:t>
      </w:r>
      <w:bookmarkEnd w:id="43"/>
      <w:bookmarkEnd w:id="44"/>
    </w:p>
    <w:p>
      <w:pPr>
        <w:pStyle w:val="Titre3"/>
        <w:rPr>
          <w:lang w:eastAsia="ja-JP"/>
        </w:rPr>
      </w:pPr>
      <w:bookmarkStart w:id="45" w:name="_Toc124763389"/>
      <w:bookmarkStart w:id="46" w:name="_Toc171514196"/>
      <w:r>
        <w:rPr>
          <w:lang w:eastAsia="ja-JP"/>
        </w:rPr>
        <w:t>Obligation de conseil et d'information</w:t>
      </w:r>
      <w:bookmarkEnd w:id="45"/>
      <w:bookmarkEnd w:id="46"/>
    </w:p>
    <w:p>
      <w:pPr>
        <w:rPr>
          <w:lang w:eastAsia="ja-JP"/>
        </w:rPr>
      </w:pPr>
      <w:r>
        <w:rPr>
          <w:lang w:eastAsia="ja-JP"/>
        </w:rPr>
        <w:t>Le titulaire est tenu à une obligation permanente de conseil et de mise en garde, relative aux matériels, logiciels et prestations fournies. Le titulaire a une obligation de conseil ou d’alerte s’il se rend compte, lors de ses interventions, de dérèglements ou de dysfonctionnements potentiels dans le cadre de la prestation. Cette obligation de conseil incombant au titulaire est spontanée. Ce dernier doit de sa propre initiative communiquer à l’acheteur et aux bénéficiaires toute information permettant de prévenir une entrave quelconque à la bonne exécution du présent marché.</w:t>
      </w:r>
    </w:p>
    <w:p>
      <w:pPr>
        <w:rPr>
          <w:lang w:eastAsia="ja-JP"/>
        </w:rPr>
      </w:pPr>
      <w:r>
        <w:rPr>
          <w:lang w:eastAsia="ja-JP"/>
        </w:rPr>
        <w:t xml:space="preserve">Cette obligation de conseil peut donner lieu à la production d’un rapport qui décrit les risques et menaces et propose des actions pour les réduire. </w:t>
      </w:r>
    </w:p>
    <w:p>
      <w:pPr>
        <w:rPr>
          <w:lang w:eastAsia="ja-JP"/>
        </w:rPr>
      </w:pPr>
      <w:r>
        <w:rPr>
          <w:lang w:eastAsia="ja-JP"/>
        </w:rPr>
        <w:t>Dans l'hypothèse où le titulaire ne respecte pas cette obligation, il ne saurait se prévaloir d'une incohérence dans le marché pour s'exonérer de ses obligations contractuelles.</w:t>
      </w:r>
    </w:p>
    <w:p>
      <w:pPr>
        <w:pStyle w:val="Titre3"/>
        <w:rPr>
          <w:lang w:eastAsia="ja-JP"/>
        </w:rPr>
      </w:pPr>
      <w:bookmarkStart w:id="47" w:name="_Toc124763390"/>
      <w:bookmarkStart w:id="48" w:name="_Toc171514197"/>
      <w:r>
        <w:rPr>
          <w:lang w:eastAsia="ja-JP"/>
        </w:rPr>
        <w:t>Obligation de confidentialité et secret des affaires</w:t>
      </w:r>
      <w:bookmarkEnd w:id="47"/>
      <w:bookmarkEnd w:id="48"/>
    </w:p>
    <w:p>
      <w:pPr>
        <w:rPr>
          <w:lang w:eastAsia="ja-JP"/>
        </w:rPr>
      </w:pPr>
      <w:r>
        <w:rPr>
          <w:lang w:eastAsia="ja-JP"/>
        </w:rPr>
        <w:t>Pour l’exécution du présent marché, le titulaire est soumis, au-delà du respect de l’article 5.1 du CCAG-PI, au secret professionnel ainsi qu’à une obligation de discrétion, y compris après l’expiration du contrat. Il s’engage à respecter et à faire respecter par ses employés, associés, collaborateurs, et éventuels sous-traitants, la confidentialité sur les faits, informations, renseignements, études et autres documents qu’il serait amené à détenir ou à connaître dans le cadre de l’exécution des missions qui lui sont confiées sur le fondement du présent contrat.</w:t>
      </w:r>
    </w:p>
    <w:p>
      <w:pPr>
        <w:rPr>
          <w:lang w:eastAsia="ja-JP"/>
        </w:rPr>
      </w:pPr>
      <w:r>
        <w:rPr>
          <w:lang w:eastAsia="ja-JP"/>
        </w:rPr>
        <w:t xml:space="preserve">Pendant toute l’exécution et y compris après l’expiration du contrat, les renseignements, documents ou objets remis au titulaire dans l’exercice de sa </w:t>
      </w:r>
      <w:r>
        <w:t>prestation</w:t>
      </w:r>
      <w:r>
        <w:rPr>
          <w:i/>
        </w:rPr>
        <w:t xml:space="preserve"> </w:t>
      </w:r>
      <w:r>
        <w:rPr>
          <w:lang w:eastAsia="ja-JP"/>
        </w:rPr>
        <w:t xml:space="preserve">ainsi que les supports établis à l’occasion de l’exécution de l’accord cadre, ne peuvent, en aucun cas, être communiqués à des tiers, ni à des membres de son entreprise ne participant pas à l’équipe dédiée, sauf accord express de l’administration. Dans les mêmes conditions, le titulaire ne peut divulguer aucune information, par écrit ou oral, sur les dossiers et affaires qu’il traite. Le titulaire ne peut se livrer à aucun commentaire public, par oral ou par écrit, des dossiers et affaires qui lui sont confiés, sans autorisation expresse de l’administration. </w:t>
      </w:r>
    </w:p>
    <w:p>
      <w:pPr>
        <w:rPr>
          <w:lang w:eastAsia="ja-JP"/>
        </w:rPr>
      </w:pPr>
      <w:r>
        <w:rPr>
          <w:lang w:eastAsia="ja-JP"/>
        </w:rPr>
        <w:t>Les données collectées auprès de l’administration ou des tiers avec qui ils échangent pour les besoins de leur prestation sont utilisées dans le seul objectif d’exécuter cette même prestation. Toute utilisation pour une autre finalité est interdite.</w:t>
      </w:r>
    </w:p>
    <w:p>
      <w:pPr>
        <w:rPr>
          <w:lang w:eastAsia="ja-JP"/>
        </w:rPr>
      </w:pPr>
      <w:r>
        <w:rPr>
          <w:lang w:eastAsia="ja-JP"/>
        </w:rPr>
        <w:t>Lorsque les prestations sont à exécuter dans des conditions de confidentialité particulières, le titulaire doit observer les dispositions particulières qui lui sont communiquées par l’administration. Il ne peut prétendre, de ce chef, à indemnité, à moins qu’il n’apporte la preuve que les conditions qui lui ont été imposées lui ont rendu l’exécution plus difficile ou plus onéreuse.</w:t>
      </w:r>
    </w:p>
    <w:p>
      <w:pPr>
        <w:rPr>
          <w:lang w:eastAsia="ja-JP"/>
        </w:rPr>
      </w:pPr>
      <w:r>
        <w:rPr>
          <w:lang w:eastAsia="ja-JP"/>
        </w:rPr>
        <w:t>Le titulaire doit prendre toute disposition pour assurer la conservation et la protection des éléments qui lui sont remis et qui revêtent un caractère secret. En cas de remise papier de documents, les locaux doivent faire l’objet de mesures de protection contre les intrusions, les sinistres et autres incidents. En cas de détention de documents électroniques, le titulaire doit veiller à prendre toute mesure contre les intrusions et les applications hostiles. Il doit aviser sans délai l’acheteur de toute disparition ainsi que de tout incident pouvant entraîner une violation du secret.</w:t>
      </w:r>
    </w:p>
    <w:p>
      <w:pPr>
        <w:rPr>
          <w:lang w:eastAsia="ja-JP"/>
        </w:rPr>
      </w:pPr>
      <w:r>
        <w:rPr>
          <w:lang w:eastAsia="ja-JP"/>
        </w:rPr>
        <w:t>A l'issue de la prestation ou en cas de cessation anticipée du contrat pour quelque cause que ce soit, les informations et l’ensemble des documents reçus par le titulaire devront être retournés à l’acheteur. Le titulaire s’engage à ne conserver aucune copie des documents restitués sur quelque support que ce soit, à l'exception de celles qui seraient strictement nécessaires pour satisfaire aux dispositions légales, réglementaires et déontologiques auxquelles il est soumis.</w:t>
      </w:r>
    </w:p>
    <w:p>
      <w:pPr>
        <w:rPr>
          <w:lang w:eastAsia="ja-JP"/>
        </w:rPr>
      </w:pPr>
      <w:r>
        <w:rPr>
          <w:lang w:eastAsia="ja-JP"/>
        </w:rPr>
        <w:t>En cas de non-respect des obligations ci-dessus mentionnées et indépendamment des sanctions disciplinaires et pénales éventuellement encourues, le titulaire s’expose à la résiliation du marché à ses torts exclusifs.</w:t>
      </w:r>
    </w:p>
    <w:p>
      <w:pPr>
        <w:rPr>
          <w:lang w:eastAsia="ja-JP"/>
        </w:rPr>
      </w:pPr>
      <w:r>
        <w:rPr>
          <w:lang w:eastAsia="ja-JP"/>
        </w:rPr>
        <w:t>L’acheteur peut demander, à tout moment, au titulaire, de lui retourner les éléments ou supports d'informations confidentielles qui lui auraient été fournis.</w:t>
      </w:r>
    </w:p>
    <w:p>
      <w:pPr>
        <w:rPr>
          <w:lang w:eastAsia="ja-JP"/>
        </w:rPr>
      </w:pPr>
      <w:r>
        <w:rPr>
          <w:lang w:eastAsia="ja-JP"/>
        </w:rPr>
        <w:t>Le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prestation de conseil ou d'assistance à maîtrise d'ouvrage, de contrôle des prestations réalisées ou en cas de passation d'un marché de substitution. L'acheteur s'engage, le cas échéant, à obtenir de ce tiers toutes les assurances nécessaires quant à la mise en œuvre par ce dernier et ses éventuels sous-traitants de mesures effectives de protection des informations couvertes par le secret des affaires. L'acheteur informe le titulaire par écrit 15 jours avant de divulguer de telles informations, en précisant le motif, la durée ainsi que les informations et documents concernés.</w:t>
      </w:r>
    </w:p>
    <w:p>
      <w:pPr>
        <w:rPr>
          <w:lang w:eastAsia="ja-JP"/>
        </w:rPr>
      </w:pPr>
      <w:r>
        <w:rPr>
          <w:lang w:eastAsia="ja-JP"/>
        </w:rPr>
        <w:t>Le titulaire ne peut pas se prévaloir des prestations menées dans le cadre du présent marché à des fins de mise en valeur de son activité ou de prospection commerciale autre que dans une mention du type « référence client » et dans les conditions suivantes :</w:t>
      </w:r>
    </w:p>
    <w:p>
      <w:pPr>
        <w:pStyle w:val="Paragraphedeliste"/>
        <w:numPr>
          <w:ilvl w:val="0"/>
          <w:numId w:val="3"/>
        </w:numPr>
        <w:rPr>
          <w:lang w:eastAsia="ja-JP"/>
        </w:rPr>
      </w:pPr>
      <w:r>
        <w:rPr>
          <w:lang w:eastAsia="ja-JP"/>
        </w:rPr>
        <w:t>Absence d’usage de la référence en tant que marque pour identifier un service ;</w:t>
      </w:r>
    </w:p>
    <w:p>
      <w:pPr>
        <w:pStyle w:val="Paragraphedeliste"/>
        <w:numPr>
          <w:ilvl w:val="0"/>
          <w:numId w:val="3"/>
        </w:numPr>
        <w:rPr>
          <w:lang w:eastAsia="ja-JP"/>
        </w:rPr>
      </w:pPr>
      <w:r>
        <w:rPr>
          <w:lang w:eastAsia="ja-JP"/>
        </w:rPr>
        <w:t>Absence d’utilisation de la référence pour donner une qualité plus importante à une prestation ;</w:t>
      </w:r>
    </w:p>
    <w:p>
      <w:pPr>
        <w:pStyle w:val="Paragraphedeliste"/>
        <w:numPr>
          <w:ilvl w:val="0"/>
          <w:numId w:val="3"/>
        </w:numPr>
        <w:rPr>
          <w:lang w:eastAsia="ja-JP"/>
        </w:rPr>
      </w:pPr>
      <w:r>
        <w:rPr>
          <w:lang w:eastAsia="ja-JP"/>
        </w:rPr>
        <w:t>L’indication comme référence ne peut être effectuée que pendant la durée de vie du marché ;</w:t>
      </w:r>
    </w:p>
    <w:p>
      <w:pPr>
        <w:pStyle w:val="Paragraphedeliste"/>
        <w:numPr>
          <w:ilvl w:val="0"/>
          <w:numId w:val="3"/>
        </w:numPr>
        <w:rPr>
          <w:lang w:eastAsia="ja-JP"/>
        </w:rPr>
      </w:pPr>
      <w:r>
        <w:rPr>
          <w:lang w:eastAsia="ja-JP"/>
        </w:rPr>
        <w:t>Utilisation d’un logo type conforme à la charte graphique de l’Etat ;</w:t>
      </w:r>
    </w:p>
    <w:p>
      <w:pPr>
        <w:pStyle w:val="Paragraphedeliste"/>
        <w:numPr>
          <w:ilvl w:val="0"/>
          <w:numId w:val="3"/>
        </w:numPr>
        <w:rPr>
          <w:lang w:eastAsia="ja-JP"/>
        </w:rPr>
      </w:pPr>
      <w:r>
        <w:rPr>
          <w:lang w:eastAsia="ja-JP"/>
        </w:rPr>
        <w:t>Utilisation de la référence uniquement pour un usage de type plaquettes commerciales, sans mise en avant particulière de la référence (ex. logo plus grand que les autres) ;</w:t>
      </w:r>
    </w:p>
    <w:p>
      <w:pPr>
        <w:pStyle w:val="Paragraphedeliste"/>
        <w:numPr>
          <w:ilvl w:val="0"/>
          <w:numId w:val="3"/>
        </w:numPr>
        <w:rPr>
          <w:lang w:eastAsia="ja-JP"/>
        </w:rPr>
      </w:pPr>
      <w:r>
        <w:rPr>
          <w:lang w:eastAsia="ja-JP"/>
        </w:rPr>
        <w:t>Absence de texte d’accompagnement ou autre mention sur la référence.</w:t>
      </w:r>
    </w:p>
    <w:p>
      <w:pPr>
        <w:rPr>
          <w:lang w:eastAsia="ja-JP"/>
        </w:rPr>
      </w:pPr>
      <w:r>
        <w:rPr>
          <w:lang w:eastAsia="ja-JP"/>
        </w:rPr>
        <w:t>Si l’une de ces conditions n’est pas respectée, le titulaire peut être sanctionné sur le fondement du non-respect de la clause de confidentialité, du droit des marques, du droit de la responsabilité civile (concurrence déloyale/parasitaire) ou encore du droit de la consommation (pratique commerciale trompeuse).</w:t>
      </w:r>
    </w:p>
    <w:p>
      <w:pPr>
        <w:pStyle w:val="Titre3"/>
        <w:rPr>
          <w:lang w:eastAsia="ja-JP"/>
        </w:rPr>
      </w:pPr>
      <w:bookmarkStart w:id="49" w:name="_Toc86307814"/>
      <w:bookmarkStart w:id="50" w:name="_Toc99637758"/>
      <w:bookmarkStart w:id="51" w:name="_Toc124763391"/>
      <w:bookmarkStart w:id="52" w:name="_Toc171514198"/>
      <w:bookmarkEnd w:id="49"/>
      <w:bookmarkEnd w:id="50"/>
      <w:r>
        <w:rPr>
          <w:lang w:eastAsia="ja-JP"/>
        </w:rPr>
        <w:t>Mesures de sécurité, dont sécurité informatique et gestion des données</w:t>
      </w:r>
      <w:bookmarkEnd w:id="51"/>
      <w:bookmarkEnd w:id="52"/>
    </w:p>
    <w:p>
      <w:pPr>
        <w:rPr>
          <w:lang w:eastAsia="ja-JP"/>
        </w:rPr>
      </w:pPr>
      <w:r>
        <w:rPr>
          <w:lang w:eastAsia="ja-JP"/>
        </w:rPr>
        <w:t>Toute personne relevant du titulaire ou de ses sous-traitants est soumise, le cas échéant, à des mesures de sécurité qu'il s'agisse d'accès physiques à des locaux ou d'accès logistiques à des informations.</w:t>
      </w:r>
    </w:p>
    <w:p>
      <w:pPr>
        <w:rPr>
          <w:lang w:eastAsia="ja-JP"/>
        </w:rPr>
      </w:pPr>
      <w:r>
        <w:rPr>
          <w:lang w:eastAsia="ja-JP"/>
        </w:rPr>
        <w:t xml:space="preserve">Le titulaire doit faire connaître à l'acheteur, sur la demande de ce dernier, le lieu d'exécution des prestations. </w:t>
      </w:r>
    </w:p>
    <w:p>
      <w:pPr>
        <w:rPr>
          <w:lang w:eastAsia="ja-JP"/>
        </w:rPr>
      </w:pPr>
      <w:r>
        <w:rPr>
          <w:lang w:eastAsia="ja-JP"/>
        </w:rPr>
        <w:t>Afin de se prémunir contre toute insuffisance de protection du lieu d'exécution, l'acheteur peut effectuer ou faire effectuer un audit de sécurité auprès d'un ou plusieurs titulaires (ou de ses/leurs sous-traitants) afin de s'assurer de la prise en compte effective du niveau de sécurité requis par lui/eux. Le titulaire doit être informé quinze jours à l'avance de cet audit (date, modalités de mise en œuvre). Ce contrôle peut durer pendant une période de six mois au-delà de la résiliation ou de la fin du marché, afin de vérifier que l'ancien titulaire a pris que les dispositions en matière de destruction des données.</w:t>
      </w:r>
    </w:p>
    <w:p>
      <w:pPr>
        <w:pStyle w:val="Titre4"/>
      </w:pPr>
      <w:r>
        <w:t>Obligation de protection de l’information, de maintien en condition de sécurité et de gestion des données</w:t>
      </w:r>
    </w:p>
    <w:p>
      <w:pPr>
        <w:spacing w:before="0" w:after="160" w:line="259" w:lineRule="auto"/>
      </w:pPr>
      <w:r>
        <w:t>Le titulaire applique et fait appliquer à ses sous-traitants les clauses de sécurité du présent marché. Il définit et applique une organisation de la sécurité afin de respecter l’ensemble des contraintes émises par l’acheteur :</w:t>
      </w:r>
    </w:p>
    <w:p>
      <w:pPr>
        <w:pStyle w:val="Paragraphedeliste"/>
        <w:numPr>
          <w:ilvl w:val="0"/>
          <w:numId w:val="3"/>
        </w:numPr>
        <w:ind w:left="705"/>
      </w:pPr>
      <w:r>
        <w:rPr>
          <w:b/>
        </w:rPr>
        <w:t>Mise à disposition des politiques et procédures de sécurité du titulaire :</w:t>
      </w:r>
      <w:r>
        <w:t xml:space="preserve"> Le titulaire met à disposition de l’administration l’ensemble des documents relatifs aux politiques et procédures de sécurité à la demande de l’administration.</w:t>
      </w:r>
    </w:p>
    <w:p>
      <w:pPr>
        <w:pStyle w:val="Paragraphedeliste"/>
        <w:ind w:left="705"/>
      </w:pPr>
    </w:p>
    <w:p>
      <w:pPr>
        <w:pStyle w:val="Paragraphedeliste"/>
        <w:numPr>
          <w:ilvl w:val="0"/>
          <w:numId w:val="3"/>
        </w:numPr>
        <w:spacing w:before="0" w:after="160" w:line="259" w:lineRule="auto"/>
        <w:ind w:left="705"/>
      </w:pPr>
      <w:r>
        <w:rPr>
          <w:b/>
        </w:rPr>
        <w:t>Mise en œuvre d’une gestion de risques et son suivi :</w:t>
      </w:r>
      <w:r>
        <w:t xml:space="preserve"> Le titulaire met en place une gestion des risques et assure un suivi permanent de son niveau de maîtrise de risques ainsi que du respect des politiques et règles de sécurité applicables sur le périmètre des prestations, y compris auprès de ses propres sous-traitants. Il assure la sécurité des réseaux et de l’exploitation ainsi que le traitement des incidents. Il avertit l’administration de toute difficulté potentielle ou avérée.</w:t>
      </w:r>
    </w:p>
    <w:p>
      <w:pPr>
        <w:pStyle w:val="Paragraphedeliste"/>
      </w:pPr>
    </w:p>
    <w:p>
      <w:pPr>
        <w:pStyle w:val="Paragraphedeliste"/>
        <w:numPr>
          <w:ilvl w:val="0"/>
          <w:numId w:val="3"/>
        </w:numPr>
        <w:spacing w:before="0" w:after="160" w:line="259" w:lineRule="auto"/>
        <w:ind w:left="705"/>
      </w:pPr>
      <w:r>
        <w:rPr>
          <w:b/>
        </w:rPr>
        <w:t>Incident de sécurité</w:t>
      </w:r>
      <w:r>
        <w:t> : Le titulaire informe sans délai l’administration et l’ANSSI de tout incident de sécurité affectant les données ou les outils de l’acheteur.</w:t>
      </w:r>
    </w:p>
    <w:p>
      <w:pPr>
        <w:pStyle w:val="Paragraphedeliste"/>
        <w:rPr>
          <w:b/>
        </w:rPr>
      </w:pPr>
    </w:p>
    <w:p>
      <w:pPr>
        <w:pStyle w:val="Paragraphedeliste"/>
        <w:numPr>
          <w:ilvl w:val="0"/>
          <w:numId w:val="3"/>
        </w:numPr>
        <w:spacing w:before="0" w:after="160" w:line="259" w:lineRule="auto"/>
        <w:ind w:left="709"/>
      </w:pPr>
      <w:r>
        <w:rPr>
          <w:b/>
        </w:rPr>
        <w:t>Séparation des données de l’acheteur et des données d’autres clients :</w:t>
      </w:r>
      <w:r>
        <w:t xml:space="preserve"> Le titulaire conserve et traite les données de l’administration de manière séparée de ses propres données ou de données d’autres clients du titulaire. Le titulaire doit restreindre l’accès aux données de l’acheteur suivant le principe de restriction au besoin d’en connaître.</w:t>
      </w:r>
    </w:p>
    <w:p>
      <w:pPr>
        <w:pStyle w:val="Paragraphedeliste"/>
      </w:pPr>
    </w:p>
    <w:p>
      <w:pPr>
        <w:pStyle w:val="Paragraphedeliste"/>
        <w:numPr>
          <w:ilvl w:val="0"/>
          <w:numId w:val="3"/>
        </w:numPr>
        <w:ind w:left="705"/>
      </w:pPr>
      <w:r>
        <w:rPr>
          <w:b/>
        </w:rPr>
        <w:t>Modalités d’échanges d’informations</w:t>
      </w:r>
      <w:r>
        <w:t xml:space="preserve"> : Le titulaire garantit que les modalités de stockage et d’échanges d’informations par mail permettent d’en assurer la confidentialité et l’intégrité. Le titulaire garantit que les supports échangés ou à connecter sur un SI de l’acheteur n’intègrent aucun code malveillant et ont fait l’objet d’un test d’innocuité positif.</w:t>
      </w:r>
    </w:p>
    <w:p>
      <w:pPr>
        <w:pStyle w:val="Paragraphedeliste"/>
        <w:ind w:left="705"/>
      </w:pPr>
    </w:p>
    <w:p>
      <w:pPr>
        <w:pStyle w:val="Paragraphedeliste"/>
        <w:numPr>
          <w:ilvl w:val="0"/>
          <w:numId w:val="3"/>
        </w:numPr>
        <w:ind w:left="705"/>
      </w:pPr>
      <w:r>
        <w:rPr>
          <w:b/>
        </w:rPr>
        <w:t>Détection des cyberattaques :</w:t>
      </w:r>
      <w:r>
        <w:t xml:space="preserve"> le titulaire s’assure de la bonne installation et mise à jour d’outils de détection des cyberattaques sur tous les postes de travail et serveurs dont il est responsable dans le cadre de la prestation. La désactivation, même temporaire, des outils de détection des cyberattaques sur un serveur utilisé dans le cadre d’une prestation devra avoir été préalablement notifiée à l’acheteur.</w:t>
      </w:r>
    </w:p>
    <w:p>
      <w:pPr>
        <w:pStyle w:val="Paragraphedeliste"/>
        <w:ind w:left="705"/>
      </w:pPr>
    </w:p>
    <w:p>
      <w:pPr>
        <w:pStyle w:val="Paragraphedeliste"/>
        <w:numPr>
          <w:ilvl w:val="0"/>
          <w:numId w:val="3"/>
        </w:numPr>
        <w:ind w:left="705"/>
      </w:pPr>
      <w:r>
        <w:rPr>
          <w:b/>
        </w:rPr>
        <w:t>Obligations pour les titulaires manipulant des informations de l’acheteur sur un SI externe à l’administration</w:t>
      </w:r>
      <w:r>
        <w:t xml:space="preserve"> : Lorsque le titulaire est amené à manipuler des informations de l’administration sur un système d’information externe à l’administration, l’administration peut imposer des mesures complémentaires et requérir, par exemple, l’usage de solutions détenant un visa de sécurité de l’ANSSI ou ayant été audité par un prestataire qualifié par l’ANSSI. </w:t>
      </w:r>
    </w:p>
    <w:p>
      <w:pPr>
        <w:pStyle w:val="Paragraphedeliste"/>
        <w:ind w:left="705"/>
      </w:pPr>
    </w:p>
    <w:p>
      <w:pPr>
        <w:pStyle w:val="Paragraphedeliste"/>
        <w:numPr>
          <w:ilvl w:val="0"/>
          <w:numId w:val="3"/>
        </w:numPr>
        <w:ind w:left="705"/>
      </w:pPr>
      <w:r>
        <w:rPr>
          <w:b/>
        </w:rPr>
        <w:t>Systèmes d’information hébergeant des données de l’acheteur</w:t>
      </w:r>
      <w:r>
        <w:t xml:space="preserve"> : Les données numériques que l’acheteur considérerait comme particulièrement sensibles, et qui lui seraient confiées, doivent faire l’objet d’un hébergement non exposé au droit extra-communautaire, et respectant – dans le cadre d’hébergement de type « informatique en nuage » - les exigences du référentiel </w:t>
      </w:r>
      <w:proofErr w:type="spellStart"/>
      <w:r>
        <w:t>SecNumCloud</w:t>
      </w:r>
      <w:proofErr w:type="spellEnd"/>
      <w:r>
        <w:t xml:space="preserve">. A défaut de disposer une qualification </w:t>
      </w:r>
      <w:proofErr w:type="spellStart"/>
      <w:r>
        <w:t>SecNumCloud</w:t>
      </w:r>
      <w:proofErr w:type="spellEnd"/>
      <w:r>
        <w:t xml:space="preserve"> du système d’information en nuage, une analyse de risque détaillée de l’écart à ce référentiel sera produite. Une attention toute particulière sera portée sur la protection face aux réglementations extra-communautaires susceptibles de porter atteinte à la confidentialité des données de l’administration.</w:t>
      </w:r>
    </w:p>
    <w:p>
      <w:pPr>
        <w:pStyle w:val="Paragraphedeliste"/>
        <w:ind w:left="705"/>
      </w:pPr>
      <w:r>
        <w:t>Le titulaire garantit l’hébergement des données de l’administration sur le territoire national, sauf accord du HFDS et dérogation dûment motivée et précisée.</w:t>
      </w:r>
    </w:p>
    <w:p>
      <w:pPr>
        <w:pStyle w:val="Paragraphedeliste"/>
        <w:spacing w:before="0" w:after="160" w:line="259" w:lineRule="auto"/>
        <w:ind w:left="705"/>
      </w:pPr>
      <w:r>
        <w:t xml:space="preserve">A la première demande de l’administration, le titulaire identifie tous les titulaires techniques hébergeant ou stockant les données et leurs copies, utilisées ou échangées en cours de marché ainsi que leur localisation. </w:t>
      </w:r>
    </w:p>
    <w:p>
      <w:pPr>
        <w:pStyle w:val="Paragraphedeliste"/>
        <w:spacing w:before="0" w:after="160" w:line="259" w:lineRule="auto"/>
        <w:ind w:left="705"/>
      </w:pPr>
      <w:r>
        <w:t>En cas de changement de localisation des données ou services, le titulaire en informe préalablement l’administration.</w:t>
      </w:r>
    </w:p>
    <w:p>
      <w:pPr>
        <w:pStyle w:val="Paragraphedeliste"/>
        <w:ind w:left="705"/>
      </w:pPr>
    </w:p>
    <w:p>
      <w:pPr>
        <w:pStyle w:val="Paragraphedeliste"/>
        <w:numPr>
          <w:ilvl w:val="0"/>
          <w:numId w:val="3"/>
        </w:numPr>
        <w:ind w:left="705"/>
      </w:pPr>
      <w:r>
        <w:rPr>
          <w:b/>
        </w:rPr>
        <w:t>Destruction et restitution des informations collectées par le titulaire</w:t>
      </w:r>
      <w:r>
        <w:t xml:space="preserve"> : Le titulaire garantit la destruction des données utilisées dans le cadre de la réalisation des prestations après restitution de ces dernières à l’acheteur. Au terme de l'exécution du marché ou en cas de résiliation, le titulaire restitue sans délai à l'acheteur une copie de l'intégralité des données confiées par lui dans le cadre de la prestation. Une fois la restitution effectuée, </w:t>
      </w:r>
      <w:r>
        <w:rPr>
          <w:b/>
        </w:rPr>
        <w:t>le titulaire détruit, dans un délai d’un mois</w:t>
      </w:r>
      <w:r>
        <w:t>, les éventuelles copies de données détenues dans son système d'information, y compris les données ayant fait l'objet de sauvegardes ou d'un archivage. La restitution et la destruction des données sont constatées par un procès-verbal daté et signé par le titulaire. Les procédés de destruction sont conformes aux réglementations en vigueur.</w:t>
      </w:r>
    </w:p>
    <w:p>
      <w:pPr>
        <w:pStyle w:val="Paragraphedeliste"/>
        <w:ind w:left="705"/>
      </w:pPr>
    </w:p>
    <w:p>
      <w:pPr>
        <w:pStyle w:val="Paragraphedeliste"/>
        <w:numPr>
          <w:ilvl w:val="0"/>
          <w:numId w:val="3"/>
        </w:numPr>
        <w:ind w:left="705"/>
      </w:pPr>
      <w:r>
        <w:rPr>
          <w:b/>
        </w:rPr>
        <w:t xml:space="preserve">Etat de l’art et suivi des alertes: </w:t>
      </w:r>
      <w:r>
        <w:t xml:space="preserve">Le titulaire garantit à l’acheteur qu’il est conforme à l’état de l’art pour les services et objets numériques fournis dans le cadre des prestations. A la première demande, le titulaire fournit la preuve de cette conformité. Il précise alors les domaines concernés (interfaces web et courriels), les objets et bases d’information concernées (appareils connectés, sauvegardes de données, consoles d’administration). Il doit </w:t>
      </w:r>
      <w:proofErr w:type="gramStart"/>
      <w:r>
        <w:rPr>
          <w:i/>
        </w:rPr>
        <w:t>a</w:t>
      </w:r>
      <w:proofErr w:type="gramEnd"/>
      <w:r>
        <w:rPr>
          <w:i/>
        </w:rPr>
        <w:t xml:space="preserve"> minima</w:t>
      </w:r>
      <w:r>
        <w:t xml:space="preserve"> surveiller les avis de sécurité et les alertes diffusées par le CERT-FR (Centre gouvernemental de veille, d’alerte et de réponse aux attaques informatiques) et mettre en œuvre sans délai leurs recommandations, et en rendre compte à l’administration. Plus d’information : </w:t>
      </w:r>
      <w:hyperlink r:id="rId8" w:history="1">
        <w:r>
          <w:rPr>
            <w:rStyle w:val="Lienhypertexte"/>
          </w:rPr>
          <w:t>https://www.cert.ssi.gouv.fr/</w:t>
        </w:r>
      </w:hyperlink>
    </w:p>
    <w:p>
      <w:pPr>
        <w:pStyle w:val="Paragraphedeliste"/>
        <w:ind w:left="360"/>
      </w:pPr>
    </w:p>
    <w:p>
      <w:r>
        <w:t>La mise en œuvre de ces mesures peut être contrôlée sur place par l’acheteur qui peut également solliciter l’appui de l’ANSSI dans ces vérifications.</w:t>
      </w:r>
    </w:p>
    <w:p>
      <w:pPr>
        <w:pStyle w:val="Titre4"/>
      </w:pPr>
      <w:r>
        <w:t>Mise en œuvre des obligations règlementaires</w:t>
      </w:r>
    </w:p>
    <w:p>
      <w:r>
        <w:t xml:space="preserve">Le titulaire développe toutes les mesures de sécurité qu’il propose de mettre en œuvre pour assurer l’intégrité et la continuité de l’hébergement des outils mis à disposition et des données ainsi que les modalités de gestion des incidents de sécurité et de déploiement des mises à jour de sécurité. </w:t>
      </w:r>
    </w:p>
    <w:p>
      <w:r>
        <w:t>Le titulaire s’engage à appliquer les règles issues des textes suivants :</w:t>
      </w:r>
    </w:p>
    <w:p>
      <w:pPr>
        <w:pStyle w:val="Paragraphedeliste"/>
        <w:numPr>
          <w:ilvl w:val="0"/>
          <w:numId w:val="4"/>
        </w:numPr>
      </w:pPr>
      <w:r>
        <w:t>Le cahier des clauses simplifiées de cybersécurité comporte les mesures de sécurité minimales que doit prendre un prestataire afin de garantir que son niveau de cybersécurité est conforme à l'état de l’art. Il indique également la documentation à réaliser, la communication à effectuer en cas de problème de sécurité et les conseils techniques attendus de la part du prestataire. Il a été approuvé par l'arrêté publié au journal officiel de la république française n°223 du 27 septembre 2018. Il est consultable ici :</w:t>
      </w:r>
    </w:p>
    <w:p>
      <w:pPr>
        <w:pStyle w:val="Paragraphedeliste"/>
      </w:pPr>
      <w:hyperlink r:id="rId9" w:history="1">
        <w:r>
          <w:rPr>
            <w:rStyle w:val="Lienhypertexte"/>
          </w:rPr>
          <w:t>https://www.legifrance.gouv.fr/eli/arrete/2018/9/18/ECOP1825228A/jo/texte</w:t>
        </w:r>
      </w:hyperlink>
      <w:r>
        <w:t xml:space="preserve">  </w:t>
      </w:r>
    </w:p>
    <w:p>
      <w:pPr>
        <w:pStyle w:val="Paragraphedeliste"/>
      </w:pPr>
    </w:p>
    <w:p>
      <w:pPr>
        <w:pStyle w:val="Paragraphedeliste"/>
        <w:numPr>
          <w:ilvl w:val="0"/>
          <w:numId w:val="2"/>
        </w:numPr>
      </w:pPr>
      <w:r>
        <w:t xml:space="preserve">La politique de sécurité des systèmes d'information de l'Etat (PSSIE) définit les principes généraux applicables aux systèmes d’information des différents ministères. L’ANSSI et les FSSI des ministères ont produit une politique permettant d’affiner le niveau de détail et de mieux harmoniser les pratiques de sécurité des ministères. Ce texte est applicable à tout système ministériel non-classifié. Il est demandé au titulaire de se conformer aux règles et recommandations tirées de la PSSI-E, consultable ici : </w:t>
      </w:r>
      <w:hyperlink r:id="rId10" w:history="1">
        <w:r>
          <w:rPr>
            <w:rStyle w:val="Lienhypertexte"/>
          </w:rPr>
          <w:t>https://www.ssi.gouv.fr/uploads/2014/11/pssie_anssi.pdf</w:t>
        </w:r>
      </w:hyperlink>
      <w:r>
        <w:t xml:space="preserve"> </w:t>
      </w:r>
    </w:p>
    <w:p>
      <w:r>
        <w:t xml:space="preserve">Également, les titulaires doivent se conformer à la politique générale de chaque bénéficiaire en matière de sécurité des systèmes d’information. </w:t>
      </w:r>
      <w:r>
        <w:rPr>
          <w:highlight w:val="yellow"/>
        </w:rPr>
        <w:t>[A indiquer le cas échéant]</w:t>
      </w:r>
    </w:p>
    <w:p>
      <w:pPr>
        <w:pStyle w:val="Titre3"/>
        <w:rPr>
          <w:lang w:eastAsia="ja-JP"/>
        </w:rPr>
      </w:pPr>
      <w:bookmarkStart w:id="53" w:name="_Toc124763392"/>
      <w:bookmarkStart w:id="54" w:name="_Toc171514199"/>
      <w:r>
        <w:rPr>
          <w:lang w:eastAsia="ja-JP"/>
        </w:rPr>
        <w:t>Utilisation de la charte graphique</w:t>
      </w:r>
      <w:bookmarkEnd w:id="53"/>
      <w:bookmarkEnd w:id="54"/>
    </w:p>
    <w:p>
      <w:pPr>
        <w:rPr>
          <w:lang w:eastAsia="ja-JP"/>
        </w:rPr>
      </w:pPr>
      <w:r>
        <w:rPr>
          <w:szCs w:val="20"/>
          <w:lang w:eastAsia="ja-JP"/>
        </w:rPr>
        <w:t xml:space="preserve">Le titulaire à l’interdiction d’utiliser les sceaux, timbres, cachets et marques de l’administration </w:t>
      </w:r>
      <w:r>
        <w:rPr>
          <w:lang w:eastAsia="ja-JP"/>
        </w:rPr>
        <w:t>en dehors des autorisations prévues par le règlement d’usage du label « Services Publics + » et par [</w:t>
      </w:r>
      <w:r>
        <w:rPr>
          <w:highlight w:val="yellow"/>
          <w:lang w:eastAsia="ja-JP"/>
        </w:rPr>
        <w:t>compléter le cas échéant].</w:t>
      </w:r>
    </w:p>
    <w:p>
      <w:pPr>
        <w:rPr>
          <w:szCs w:val="20"/>
          <w:lang w:eastAsia="ja-JP"/>
        </w:rPr>
      </w:pPr>
      <w:r>
        <w:rPr>
          <w:szCs w:val="20"/>
          <w:lang w:eastAsia="ja-JP"/>
        </w:rPr>
        <w:t xml:space="preserve">Les livrables rédigés conjointement sont réalisés à la charte graphique de l’administration, avec mention du concours du titulaire. </w:t>
      </w:r>
    </w:p>
    <w:p>
      <w:pPr>
        <w:rPr>
          <w:szCs w:val="20"/>
          <w:lang w:eastAsia="ja-JP"/>
        </w:rPr>
      </w:pPr>
      <w:r>
        <w:rPr>
          <w:szCs w:val="20"/>
          <w:highlight w:val="yellow"/>
          <w:lang w:eastAsia="ja-JP"/>
        </w:rPr>
        <w:t>Les livrables rédigés exclusivement par le titulaire sont réalisés à la charte graphique du titulaire.</w:t>
      </w:r>
    </w:p>
    <w:p>
      <w:pPr>
        <w:rPr>
          <w:szCs w:val="20"/>
          <w:lang w:eastAsia="ja-JP"/>
        </w:rPr>
      </w:pPr>
      <w:r>
        <w:rPr>
          <w:szCs w:val="20"/>
          <w:lang w:eastAsia="ja-JP"/>
        </w:rPr>
        <w:t>Lorsqu’un document a été rédigé avec la participation, directe ou indirecte, du titulaire, il mentionne cette information, précise la prestation réalisée et le cadre contractuel dans lequel s’inscrit ladite prestation.</w:t>
      </w:r>
    </w:p>
    <w:p>
      <w:pPr>
        <w:rPr>
          <w:szCs w:val="20"/>
          <w:lang w:eastAsia="ja-JP"/>
        </w:rPr>
      </w:pPr>
      <w:r>
        <w:rPr>
          <w:szCs w:val="20"/>
          <w:lang w:eastAsia="ja-JP"/>
        </w:rPr>
        <w:t xml:space="preserve">L’utilisation de la charte graphique de l’administration est réservée uniquement aux productions rédigées par l’administration. </w:t>
      </w:r>
    </w:p>
    <w:p>
      <w:pPr>
        <w:pStyle w:val="Titre3"/>
        <w:rPr>
          <w:lang w:eastAsia="ja-JP"/>
        </w:rPr>
      </w:pPr>
      <w:bookmarkStart w:id="55" w:name="_Toc124763393"/>
      <w:bookmarkStart w:id="56" w:name="_Toc171514200"/>
      <w:r>
        <w:rPr>
          <w:lang w:eastAsia="ja-JP"/>
        </w:rPr>
        <w:t>Obligation de respect déontologique</w:t>
      </w:r>
      <w:bookmarkEnd w:id="55"/>
      <w:bookmarkEnd w:id="56"/>
    </w:p>
    <w:p>
      <w:pPr>
        <w:rPr>
          <w:lang w:eastAsia="ja-JP"/>
        </w:rPr>
      </w:pPr>
      <w:r>
        <w:rPr>
          <w:lang w:eastAsia="ja-JP"/>
        </w:rPr>
        <w:t>Les intervenants réalisent leurs prestations avec probité et intégrité.</w:t>
      </w:r>
    </w:p>
    <w:p>
      <w:pPr>
        <w:rPr>
          <w:lang w:eastAsia="ja-JP"/>
        </w:rPr>
      </w:pPr>
      <w:r>
        <w:rPr>
          <w:lang w:eastAsia="ja-JP"/>
        </w:rPr>
        <w:t>Ils veillent à prévenir ou à faire cesser immédiatement tout conflit d’intérêts, défini comme une situation d’interférence entre un intérêt public et des intérêts publics ou privés qui est de nature à influencer ou à paraître influencer l’exercice indépendant, impartial et objectif de leur profession.</w:t>
      </w:r>
    </w:p>
    <w:p>
      <w:pPr>
        <w:rPr>
          <w:lang w:eastAsia="ja-JP"/>
        </w:rPr>
      </w:pPr>
      <w:r>
        <w:rPr>
          <w:lang w:eastAsia="ja-JP"/>
        </w:rPr>
        <w:t>Le titulaire et l’acheteur s’engagent à respecter toutes les mesures déontologiques applicables dans le cadre de l’exécution des prestations.</w:t>
      </w:r>
    </w:p>
    <w:p>
      <w:pPr>
        <w:rPr>
          <w:lang w:eastAsia="ja-JP"/>
        </w:rPr>
      </w:pPr>
      <w:r>
        <w:rPr>
          <w:lang w:eastAsia="ja-JP"/>
        </w:rPr>
        <w:t xml:space="preserve">Les intervenants doivent être à jour de leurs obligations déontologiques, notamment pour les anciens agents publics (autorisation de la commission de déontologie de l’administration d’origine ou autorisation de l’employeur soumise à approbation de l’administration bénéficiaire). Au-delà des poursuites pénales applicables, </w:t>
      </w:r>
      <w:r>
        <w:t>l’acheteur</w:t>
      </w:r>
      <w:r>
        <w:rPr>
          <w:lang w:eastAsia="ja-JP"/>
        </w:rPr>
        <w:t xml:space="preserve"> peut être amené à écarter du suivi du présent marché toute personne ne respectant pas ces règles. </w:t>
      </w:r>
    </w:p>
    <w:p>
      <w:pPr>
        <w:rPr>
          <w:lang w:eastAsia="ja-JP"/>
        </w:rPr>
      </w:pPr>
      <w:r>
        <w:rPr>
          <w:lang w:eastAsia="ja-JP"/>
        </w:rPr>
        <w:t xml:space="preserve">Avant chaque mission, le titulaire, co-traitant ou sous-traitant complète l’annexe n°2 du CCP certifiant l’absence de conflit d’intérêt ou identifiant les potentiels conflits existants. Elle est communiquée à </w:t>
      </w:r>
      <w:r>
        <w:t>l’acheteur</w:t>
      </w:r>
      <w:r>
        <w:rPr>
          <w:lang w:eastAsia="ja-JP"/>
        </w:rPr>
        <w:t xml:space="preserve"> sans délai, pour tous les membres de l’équipe mobilisée pour la réalisation des prestations. L’annexe est également complétée par l’entreprise en tant que personne morale. Cette déclaration est complétée quel que soit le statut de l’entreprise mobilisée : mandataire, co-traitant ou sous-traitant. </w:t>
      </w:r>
      <w:r>
        <w:t>L’acheteur</w:t>
      </w:r>
      <w:r>
        <w:rPr>
          <w:lang w:eastAsia="ja-JP"/>
        </w:rPr>
        <w:t xml:space="preserve"> pourra statuer sur les déclarations transmises et prendre les mesures idoines afin de faire cesser tout conflit d’intérêt (demande de remplacement, mise en impossibilité d’honorer la commande, renforcement de la supervision, etc.).</w:t>
      </w:r>
    </w:p>
    <w:p>
      <w:pPr>
        <w:rPr>
          <w:lang w:eastAsia="ja-JP"/>
        </w:rPr>
      </w:pPr>
      <w:r>
        <w:rPr>
          <w:lang w:eastAsia="ja-JP"/>
        </w:rPr>
        <w:t>En cas de modification substantielle des intérêts détenus au cours de la prestation, le prestataire et les intervenants actualisent leur déclaration dans un délai de quinze jours et selon les mêmes modalités.</w:t>
      </w:r>
    </w:p>
    <w:p>
      <w:pPr>
        <w:rPr>
          <w:lang w:eastAsia="ja-JP"/>
        </w:rPr>
      </w:pPr>
      <w:r>
        <w:rPr>
          <w:lang w:eastAsia="ja-JP"/>
        </w:rPr>
        <w:t xml:space="preserve">Tout au long de l'exécution du marché, le titulaire est tenu de déclarer sous sa responsabilité, à l'acheteur toute situation de nature à constituer un conflit d'intérêts. </w:t>
      </w:r>
    </w:p>
    <w:p>
      <w:pPr>
        <w:rPr>
          <w:lang w:eastAsia="ja-JP"/>
        </w:rPr>
      </w:pPr>
      <w:r>
        <w:rPr>
          <w:lang w:eastAsia="ja-JP"/>
        </w:rPr>
        <w:t>Le titulaire s’engage à ne pas proposer aux agents publics des récompenses en nature qui auraient pour conséquence le non-respect des principes déontologiques. Sont ainsi proscrits les comportements, actifs ou passifs, visant à bénéficier ou faire bénéficier d’un avantage quelconque par le biais de récompense en nature (repas, invitation hors cadre professionnel, cadeaux individuels, etc.). Toute action de démarchage ou invitation à des événements promotionnels de la part du titulaire auprès des bénéficiaires est prohibée.</w:t>
      </w:r>
    </w:p>
    <w:p>
      <w:pPr>
        <w:rPr>
          <w:lang w:eastAsia="ja-JP"/>
        </w:rPr>
      </w:pPr>
      <w:r>
        <w:t>Les actions de démarchage ou de prospection sont prohibées.</w:t>
      </w:r>
      <w:r>
        <w:rPr>
          <w:lang w:eastAsia="ja-JP"/>
        </w:rPr>
        <w:t xml:space="preserve"> </w:t>
      </w:r>
    </w:p>
    <w:p>
      <w:pPr>
        <w:rPr>
          <w:lang w:eastAsia="ja-JP"/>
        </w:rPr>
      </w:pPr>
      <w:r>
        <w:rPr>
          <w:lang w:eastAsia="ja-JP"/>
        </w:rPr>
        <w:t xml:space="preserve">Les missions effectuées à titre gracieux (dites </w:t>
      </w:r>
      <w:r>
        <w:rPr>
          <w:i/>
          <w:lang w:eastAsia="ja-JP"/>
        </w:rPr>
        <w:t xml:space="preserve">pro </w:t>
      </w:r>
      <w:proofErr w:type="spellStart"/>
      <w:r>
        <w:rPr>
          <w:i/>
          <w:lang w:eastAsia="ja-JP"/>
        </w:rPr>
        <w:t>bono</w:t>
      </w:r>
      <w:proofErr w:type="spellEnd"/>
      <w:r>
        <w:rPr>
          <w:i/>
          <w:lang w:eastAsia="ja-JP"/>
        </w:rPr>
        <w:t>)</w:t>
      </w:r>
      <w:r>
        <w:rPr>
          <w:lang w:eastAsia="ja-JP"/>
        </w:rPr>
        <w:t xml:space="preserve"> au bénéfice des administrations publiques ne doivent donner lieu à aucune contrepartie. Toute mission </w:t>
      </w:r>
      <w:r>
        <w:rPr>
          <w:i/>
          <w:lang w:eastAsia="ja-JP"/>
        </w:rPr>
        <w:t>pro-</w:t>
      </w:r>
      <w:proofErr w:type="spellStart"/>
      <w:r>
        <w:rPr>
          <w:i/>
          <w:lang w:eastAsia="ja-JP"/>
        </w:rPr>
        <w:t>bono</w:t>
      </w:r>
      <w:proofErr w:type="spellEnd"/>
      <w:r>
        <w:rPr>
          <w:lang w:eastAsia="ja-JP"/>
        </w:rPr>
        <w:t xml:space="preserve"> ou mécénat de compétence doit être autorisée par [</w:t>
      </w:r>
      <w:r>
        <w:rPr>
          <w:highlight w:val="yellow"/>
          <w:lang w:eastAsia="ja-JP"/>
        </w:rPr>
        <w:t>le secrétaire général par exemple]</w:t>
      </w:r>
      <w:r>
        <w:rPr>
          <w:lang w:eastAsia="ja-JP"/>
        </w:rPr>
        <w:t xml:space="preserve"> et enregistrée auprès de l’acheteur. </w:t>
      </w:r>
    </w:p>
    <w:p>
      <w:pPr>
        <w:rPr>
          <w:lang w:eastAsia="ja-JP"/>
        </w:rPr>
      </w:pPr>
      <w:r>
        <w:rPr>
          <w:lang w:eastAsia="ja-JP"/>
        </w:rPr>
        <w:t>En cas de conflit avéré, les prestations pourront être annulées avant le terme du bon de commande en cours. Cette annulation entrainera uniquement le paiement des prestations réellement réalisées.</w:t>
      </w:r>
    </w:p>
    <w:p>
      <w:pPr>
        <w:rPr>
          <w:lang w:eastAsia="ja-JP"/>
        </w:rPr>
      </w:pPr>
      <w:r>
        <w:rPr>
          <w:lang w:eastAsia="ja-JP"/>
        </w:rPr>
        <w:t>En cas de non déclaration de conflit d’intérêt ou de non-respect des obligations du présent article, des pénalités pourront être appliquées. En cas de conflit d’intérêt grave et répété, ou d’absence de déclaration, le marché pourra être résilié.</w:t>
      </w:r>
    </w:p>
    <w:p>
      <w:pPr>
        <w:pStyle w:val="Titre3"/>
        <w:rPr>
          <w:lang w:eastAsia="ja-JP"/>
        </w:rPr>
      </w:pPr>
      <w:bookmarkStart w:id="57" w:name="_Toc124763394"/>
      <w:bookmarkStart w:id="58" w:name="_Toc171514201"/>
      <w:r>
        <w:rPr>
          <w:lang w:eastAsia="ja-JP"/>
        </w:rPr>
        <w:t>Responsabilité du titulaire</w:t>
      </w:r>
      <w:bookmarkEnd w:id="57"/>
      <w:bookmarkEnd w:id="58"/>
    </w:p>
    <w:p>
      <w:pPr>
        <w:rPr>
          <w:lang w:eastAsia="ja-JP"/>
        </w:rPr>
      </w:pPr>
      <w:r>
        <w:rPr>
          <w:lang w:eastAsia="ja-JP"/>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doivent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pPr>
        <w:pStyle w:val="Titre3"/>
        <w:rPr>
          <w:lang w:eastAsia="ja-JP"/>
        </w:rPr>
      </w:pPr>
      <w:bookmarkStart w:id="59" w:name="_Toc124763395"/>
      <w:bookmarkStart w:id="60" w:name="_Toc171514202"/>
      <w:r>
        <w:rPr>
          <w:lang w:eastAsia="ja-JP"/>
        </w:rPr>
        <w:t>Langue utilisée</w:t>
      </w:r>
      <w:bookmarkEnd w:id="59"/>
      <w:bookmarkEnd w:id="60"/>
    </w:p>
    <w:p>
      <w:pPr>
        <w:rPr>
          <w:lang w:eastAsia="ja-JP"/>
        </w:rPr>
      </w:pPr>
      <w:r>
        <w:rPr>
          <w:lang w:eastAsia="ja-JP"/>
        </w:rPr>
        <w:t>Le titulaire emploie la langue française dans ses échanges avec l’administration et la rédaction des documents auxquels ils participent.</w:t>
      </w:r>
    </w:p>
    <w:p>
      <w:pPr>
        <w:rPr>
          <w:lang w:eastAsia="ja-JP"/>
        </w:rPr>
      </w:pPr>
      <w:r>
        <w:rPr>
          <w:lang w:eastAsia="ja-JP"/>
        </w:rPr>
        <w:t xml:space="preserve">Il ne peut utiliser ni expression ni </w:t>
      </w:r>
      <w:proofErr w:type="gramStart"/>
      <w:r>
        <w:rPr>
          <w:lang w:eastAsia="ja-JP"/>
        </w:rPr>
        <w:t>terme étrangers</w:t>
      </w:r>
      <w:proofErr w:type="gramEnd"/>
      <w:r>
        <w:rPr>
          <w:lang w:eastAsia="ja-JP"/>
        </w:rPr>
        <w:t xml:space="preserve"> lorsqu’il existe une expression ou un terme français de même sens approuvés dans les conditions prévues par les dispositions réglementaires relatives à l’enrichissement de la langue française.</w:t>
      </w:r>
    </w:p>
    <w:p>
      <w:pPr>
        <w:rPr>
          <w:lang w:eastAsia="ja-JP"/>
        </w:rPr>
      </w:pPr>
      <w:r>
        <w:rPr>
          <w:lang w:eastAsia="ja-JP"/>
        </w:rPr>
        <w:t>Outre la rédaction en langue française, les documents auxquels le titulaire participe peuvent comporter une ou plusieurs versions en langue étrangère.</w:t>
      </w:r>
    </w:p>
    <w:p>
      <w:pPr>
        <w:pStyle w:val="Titre1"/>
      </w:pPr>
      <w:bookmarkStart w:id="61" w:name="_Toc124763398"/>
      <w:bookmarkStart w:id="62" w:name="_Toc171514203"/>
      <w:r>
        <w:t>PILOTAGE du marché</w:t>
      </w:r>
      <w:bookmarkEnd w:id="61"/>
      <w:bookmarkEnd w:id="62"/>
    </w:p>
    <w:p>
      <w:pPr>
        <w:rPr>
          <w:lang w:eastAsia="ja-JP"/>
        </w:rPr>
      </w:pPr>
      <w:r>
        <w:rPr>
          <w:lang w:eastAsia="ja-JP"/>
        </w:rPr>
        <w:t>Le pilotage des prestations est réalisé au travers de réunions régulières entre l’acheteur et le titulaire.</w:t>
      </w:r>
    </w:p>
    <w:p>
      <w:pPr>
        <w:pStyle w:val="Titre2"/>
      </w:pPr>
      <w:bookmarkStart w:id="63" w:name="_Toc124763399"/>
      <w:bookmarkStart w:id="64" w:name="_Toc171514204"/>
      <w:r>
        <w:t>Réunion de démarrage du marché</w:t>
      </w:r>
      <w:bookmarkEnd w:id="63"/>
      <w:bookmarkEnd w:id="64"/>
    </w:p>
    <w:p>
      <w:pPr>
        <w:rPr>
          <w:lang w:eastAsia="ja-JP"/>
        </w:rPr>
      </w:pPr>
      <w:r>
        <w:rPr>
          <w:lang w:eastAsia="ja-JP"/>
        </w:rPr>
        <w:t xml:space="preserve">Après la notification du marché, une réunion de démarrage est prévue, au cours de laquelle l’acheteur présente son organisation, les activités et les données disponibles (documents, supports...) relatives aux prestations. L'objet de cette réunion est de : </w:t>
      </w:r>
    </w:p>
    <w:p>
      <w:pPr>
        <w:pStyle w:val="Paragraphedeliste"/>
        <w:numPr>
          <w:ilvl w:val="0"/>
          <w:numId w:val="5"/>
        </w:numPr>
        <w:rPr>
          <w:lang w:eastAsia="ja-JP"/>
        </w:rPr>
      </w:pPr>
      <w:proofErr w:type="gramStart"/>
      <w:r>
        <w:rPr>
          <w:lang w:eastAsia="ja-JP"/>
        </w:rPr>
        <w:t>présenter</w:t>
      </w:r>
      <w:proofErr w:type="gramEnd"/>
      <w:r>
        <w:rPr>
          <w:lang w:eastAsia="ja-JP"/>
        </w:rPr>
        <w:t xml:space="preserve"> l'organisation du marché ;</w:t>
      </w:r>
    </w:p>
    <w:p>
      <w:pPr>
        <w:pStyle w:val="Paragraphedeliste"/>
        <w:numPr>
          <w:ilvl w:val="0"/>
          <w:numId w:val="5"/>
        </w:numPr>
        <w:rPr>
          <w:lang w:eastAsia="ja-JP"/>
        </w:rPr>
      </w:pPr>
      <w:proofErr w:type="gramStart"/>
      <w:r>
        <w:rPr>
          <w:lang w:eastAsia="ja-JP"/>
        </w:rPr>
        <w:t>préciser</w:t>
      </w:r>
      <w:proofErr w:type="gramEnd"/>
      <w:r>
        <w:rPr>
          <w:lang w:eastAsia="ja-JP"/>
        </w:rPr>
        <w:t xml:space="preserve"> les règles d’engagement des prestations et les modalités de facturation ;</w:t>
      </w:r>
    </w:p>
    <w:p>
      <w:pPr>
        <w:pStyle w:val="Paragraphedeliste"/>
        <w:numPr>
          <w:ilvl w:val="0"/>
          <w:numId w:val="5"/>
        </w:numPr>
        <w:rPr>
          <w:lang w:eastAsia="ja-JP"/>
        </w:rPr>
      </w:pPr>
      <w:proofErr w:type="gramStart"/>
      <w:r>
        <w:rPr>
          <w:lang w:eastAsia="ja-JP"/>
        </w:rPr>
        <w:t>s'assurer</w:t>
      </w:r>
      <w:proofErr w:type="gramEnd"/>
      <w:r>
        <w:rPr>
          <w:lang w:eastAsia="ja-JP"/>
        </w:rPr>
        <w:t xml:space="preserve"> de la bonne compréhension mutuelle de la prestation à mener (hypothèses, périmètre et engagement) ;</w:t>
      </w:r>
    </w:p>
    <w:p>
      <w:pPr>
        <w:pStyle w:val="Paragraphedeliste"/>
        <w:numPr>
          <w:ilvl w:val="0"/>
          <w:numId w:val="5"/>
        </w:numPr>
        <w:rPr>
          <w:lang w:eastAsia="ja-JP"/>
        </w:rPr>
      </w:pPr>
      <w:proofErr w:type="gramStart"/>
      <w:r>
        <w:rPr>
          <w:lang w:eastAsia="ja-JP"/>
        </w:rPr>
        <w:t>rappeler</w:t>
      </w:r>
      <w:proofErr w:type="gramEnd"/>
      <w:r>
        <w:rPr>
          <w:lang w:eastAsia="ja-JP"/>
        </w:rPr>
        <w:t xml:space="preserve"> la nature des prestations et le planning associé ;</w:t>
      </w:r>
    </w:p>
    <w:p>
      <w:pPr>
        <w:pStyle w:val="Paragraphedeliste"/>
        <w:numPr>
          <w:ilvl w:val="0"/>
          <w:numId w:val="5"/>
        </w:numPr>
        <w:rPr>
          <w:lang w:eastAsia="ja-JP"/>
        </w:rPr>
      </w:pPr>
      <w:proofErr w:type="gramStart"/>
      <w:r>
        <w:rPr>
          <w:lang w:eastAsia="ja-JP"/>
        </w:rPr>
        <w:t>rappeler</w:t>
      </w:r>
      <w:proofErr w:type="gramEnd"/>
      <w:r>
        <w:rPr>
          <w:lang w:eastAsia="ja-JP"/>
        </w:rPr>
        <w:t xml:space="preserve"> le processus de validation / acceptation des devis et des prestations ;</w:t>
      </w:r>
    </w:p>
    <w:p>
      <w:pPr>
        <w:pStyle w:val="Paragraphedeliste"/>
        <w:numPr>
          <w:ilvl w:val="0"/>
          <w:numId w:val="5"/>
        </w:numPr>
        <w:rPr>
          <w:lang w:eastAsia="ja-JP"/>
        </w:rPr>
      </w:pPr>
      <w:proofErr w:type="gramStart"/>
      <w:r>
        <w:rPr>
          <w:lang w:eastAsia="ja-JP"/>
        </w:rPr>
        <w:t>agréer</w:t>
      </w:r>
      <w:proofErr w:type="gramEnd"/>
      <w:r>
        <w:rPr>
          <w:lang w:eastAsia="ja-JP"/>
        </w:rPr>
        <w:t xml:space="preserve"> les modalités de communication avec le titulaire (mise en œuvre pratique des dispositions stipulées dans le marché : fréquence des réunions d'avancement, nature et formalisme des comptes rendus et états d’activité, etc.) ;</w:t>
      </w:r>
    </w:p>
    <w:p>
      <w:pPr>
        <w:pStyle w:val="Paragraphedeliste"/>
        <w:numPr>
          <w:ilvl w:val="0"/>
          <w:numId w:val="5"/>
        </w:numPr>
        <w:rPr>
          <w:lang w:eastAsia="ja-JP"/>
        </w:rPr>
      </w:pPr>
      <w:proofErr w:type="gramStart"/>
      <w:r>
        <w:rPr>
          <w:lang w:eastAsia="ja-JP"/>
        </w:rPr>
        <w:t>préciser</w:t>
      </w:r>
      <w:proofErr w:type="gramEnd"/>
      <w:r>
        <w:rPr>
          <w:lang w:eastAsia="ja-JP"/>
        </w:rPr>
        <w:t xml:space="preserve"> les modes de communication et/ou de sollicitation envers le titulaire ;</w:t>
      </w:r>
    </w:p>
    <w:p>
      <w:pPr>
        <w:pStyle w:val="Paragraphedeliste"/>
        <w:numPr>
          <w:ilvl w:val="0"/>
          <w:numId w:val="5"/>
        </w:numPr>
        <w:rPr>
          <w:lang w:eastAsia="ja-JP"/>
        </w:rPr>
      </w:pPr>
      <w:proofErr w:type="gramStart"/>
      <w:r>
        <w:rPr>
          <w:lang w:eastAsia="ja-JP"/>
        </w:rPr>
        <w:t>rappeler</w:t>
      </w:r>
      <w:proofErr w:type="gramEnd"/>
      <w:r>
        <w:rPr>
          <w:lang w:eastAsia="ja-JP"/>
        </w:rPr>
        <w:t xml:space="preserve"> les obligations déontologiques.</w:t>
      </w:r>
    </w:p>
    <w:p>
      <w:pPr>
        <w:rPr>
          <w:lang w:eastAsia="ja-JP"/>
        </w:rPr>
      </w:pPr>
      <w:r>
        <w:rPr>
          <w:lang w:eastAsia="ja-JP"/>
        </w:rPr>
        <w:t>L’acheteur s’engage à mettre à disposition du titulaire les informations en sa possession nécessaires pour mener à bien les prestations décrites dans le CCP conformément aux décisions prises lors des réunions de lancement.</w:t>
      </w:r>
    </w:p>
    <w:p>
      <w:pPr>
        <w:pStyle w:val="Titre2"/>
      </w:pPr>
      <w:bookmarkStart w:id="65" w:name="_Toc124763400"/>
      <w:bookmarkStart w:id="66" w:name="_Toc171514205"/>
      <w:r>
        <w:t>Pilotage du marché et réunions en cours d’exécution</w:t>
      </w:r>
      <w:bookmarkEnd w:id="65"/>
      <w:bookmarkEnd w:id="66"/>
    </w:p>
    <w:p>
      <w:pPr>
        <w:pStyle w:val="Titre3"/>
        <w:rPr>
          <w:lang w:eastAsia="ja-JP"/>
        </w:rPr>
      </w:pPr>
      <w:bookmarkStart w:id="67" w:name="_Toc171514206"/>
      <w:bookmarkStart w:id="68" w:name="_Toc124763402"/>
      <w:r>
        <w:rPr>
          <w:lang w:eastAsia="ja-JP"/>
        </w:rPr>
        <w:t>Réunion de suivi</w:t>
      </w:r>
      <w:bookmarkEnd w:id="67"/>
      <w:r>
        <w:rPr>
          <w:lang w:eastAsia="ja-JP"/>
        </w:rPr>
        <w:t xml:space="preserve"> </w:t>
      </w:r>
      <w:bookmarkEnd w:id="68"/>
    </w:p>
    <w:p>
      <w:pPr>
        <w:rPr>
          <w:lang w:eastAsia="ja-JP"/>
        </w:rPr>
      </w:pPr>
      <w:r>
        <w:rPr>
          <w:lang w:eastAsia="ja-JP"/>
        </w:rPr>
        <w:t>La réalisation des prestations pourra entrainer la tenue de plusieurs réunions de suivi (COPIL, points réguliers, etc.). Le titulaire sera convié aux réunions nécessaires au bon déroulement des prestations.</w:t>
      </w:r>
    </w:p>
    <w:p>
      <w:pPr>
        <w:rPr>
          <w:lang w:eastAsia="ja-JP"/>
        </w:rPr>
      </w:pPr>
      <w:r>
        <w:rPr>
          <w:lang w:eastAsia="ja-JP"/>
        </w:rPr>
        <w:t xml:space="preserve">Le service en charge de l'exécution du marché et le titulaire s'engagent à se réunir à une fréquence </w:t>
      </w:r>
      <w:r>
        <w:rPr>
          <w:highlight w:val="yellow"/>
          <w:lang w:eastAsia="ja-JP"/>
        </w:rPr>
        <w:t>(A COMPLETER ; ex : hebdomadaire, mensuelle et/ou à la fin de chaque phase / à la fin de chaque tranche...). [Indiquer ici les modalités de pilotage, leur fréquence, les participants (ex. COSTRAT, COPIL, etc.)]</w:t>
      </w:r>
    </w:p>
    <w:p>
      <w:pPr>
        <w:rPr>
          <w:lang w:eastAsia="ja-JP"/>
        </w:rPr>
      </w:pPr>
      <w:r>
        <w:rPr>
          <w:lang w:eastAsia="ja-JP"/>
        </w:rPr>
        <w:t>Des comités de pilotage sont créés à cet effet. Ces comités de pilotage contractuels permettent :</w:t>
      </w:r>
    </w:p>
    <w:p>
      <w:pPr>
        <w:pStyle w:val="Paragraphedeliste"/>
        <w:numPr>
          <w:ilvl w:val="0"/>
          <w:numId w:val="5"/>
        </w:numPr>
        <w:rPr>
          <w:lang w:eastAsia="ja-JP"/>
        </w:rPr>
      </w:pPr>
      <w:proofErr w:type="gramStart"/>
      <w:r>
        <w:rPr>
          <w:lang w:eastAsia="ja-JP"/>
        </w:rPr>
        <w:t>de</w:t>
      </w:r>
      <w:proofErr w:type="gramEnd"/>
      <w:r>
        <w:rPr>
          <w:lang w:eastAsia="ja-JP"/>
        </w:rPr>
        <w:t xml:space="preserve"> fixer les prochains points d'étape</w:t>
      </w:r>
    </w:p>
    <w:p>
      <w:pPr>
        <w:pStyle w:val="Paragraphedeliste"/>
        <w:numPr>
          <w:ilvl w:val="0"/>
          <w:numId w:val="5"/>
        </w:numPr>
        <w:rPr>
          <w:lang w:eastAsia="ja-JP"/>
        </w:rPr>
      </w:pPr>
      <w:proofErr w:type="gramStart"/>
      <w:r>
        <w:rPr>
          <w:lang w:eastAsia="ja-JP"/>
        </w:rPr>
        <w:t>de</w:t>
      </w:r>
      <w:proofErr w:type="gramEnd"/>
      <w:r>
        <w:rPr>
          <w:lang w:eastAsia="ja-JP"/>
        </w:rPr>
        <w:t xml:space="preserve"> formaliser les décisions prises dans l'exécution des prestations</w:t>
      </w:r>
    </w:p>
    <w:p>
      <w:pPr>
        <w:pStyle w:val="Paragraphedeliste"/>
        <w:numPr>
          <w:ilvl w:val="0"/>
          <w:numId w:val="5"/>
        </w:numPr>
        <w:rPr>
          <w:highlight w:val="yellow"/>
          <w:lang w:eastAsia="ja-JP"/>
        </w:rPr>
      </w:pPr>
      <w:r>
        <w:rPr>
          <w:highlight w:val="yellow"/>
          <w:lang w:eastAsia="ja-JP"/>
        </w:rPr>
        <w:t>(A COMPLETER)</w:t>
      </w:r>
    </w:p>
    <w:p>
      <w:pPr>
        <w:rPr>
          <w:lang w:eastAsia="ja-JP"/>
        </w:rPr>
      </w:pPr>
      <w:r>
        <w:rPr>
          <w:lang w:eastAsia="ja-JP"/>
        </w:rPr>
        <w:t>Le titulaire peut élaborer des versions de travail de ses livrables finaux qu'il échange avec le service en charge de l'exécution de la prestation, afin de recueillir des avis intermédiaires et permettre des réajustements de la trajectoire de la réflexion, si besoin.</w:t>
      </w:r>
    </w:p>
    <w:p>
      <w:pPr>
        <w:rPr>
          <w:lang w:eastAsia="ja-JP"/>
        </w:rPr>
      </w:pPr>
      <w:r>
        <w:rPr>
          <w:lang w:eastAsia="ja-JP"/>
        </w:rPr>
        <w:t xml:space="preserve">Toute réunion de travail fait l'objet, dans </w:t>
      </w:r>
      <w:proofErr w:type="gramStart"/>
      <w:r>
        <w:rPr>
          <w:lang w:eastAsia="ja-JP"/>
        </w:rPr>
        <w:t>un délai de 3 jours ouvrés</w:t>
      </w:r>
      <w:proofErr w:type="gramEnd"/>
      <w:r>
        <w:rPr>
          <w:lang w:eastAsia="ja-JP"/>
        </w:rPr>
        <w:t>, d'un compte-rendu élaboré par le titulaire et adressé par courriel au service en charge de l'exécution et aux participants.</w:t>
      </w:r>
    </w:p>
    <w:p>
      <w:pPr>
        <w:rPr>
          <w:lang w:eastAsia="ja-JP"/>
        </w:rPr>
      </w:pPr>
      <w:r>
        <w:rPr>
          <w:lang w:eastAsia="ja-JP"/>
        </w:rPr>
        <w:t xml:space="preserve">La production de ces comptes rendus est incluse dans les prix du marché. La préparation et la participation à ces réunions ne donne pas lieu à une facturation supplémentaire. </w:t>
      </w:r>
    </w:p>
    <w:p>
      <w:pPr>
        <w:rPr>
          <w:lang w:eastAsia="ja-JP"/>
        </w:rPr>
      </w:pPr>
      <w:r>
        <w:rPr>
          <w:lang w:eastAsia="ja-JP"/>
        </w:rPr>
        <w:t xml:space="preserve">Des réunions de bilan et d’évaluation peuvent être menées avec le titulaire à l’issue d’une prestation, sur l’initiative de l’acheteur ou de tout autre bénéficiaire du marché. </w:t>
      </w:r>
    </w:p>
    <w:p>
      <w:pPr>
        <w:rPr>
          <w:lang w:eastAsia="ja-JP"/>
        </w:rPr>
      </w:pPr>
      <w:r>
        <w:rPr>
          <w:lang w:eastAsia="ja-JP"/>
        </w:rPr>
        <w:t>Une réunion de fin de prestation pourra se tenir avec le titulaire, sur la base des travaux effectués et de la fiche d’évaluation dûment remplie.</w:t>
      </w:r>
    </w:p>
    <w:p>
      <w:pPr>
        <w:pStyle w:val="Titre3"/>
        <w:numPr>
          <w:ilvl w:val="2"/>
          <w:numId w:val="12"/>
        </w:numPr>
        <w:rPr>
          <w:lang w:eastAsia="ja-JP"/>
        </w:rPr>
      </w:pPr>
      <w:bookmarkStart w:id="69" w:name="_Toc124763401"/>
      <w:bookmarkStart w:id="70" w:name="_Toc171514207"/>
      <w:r>
        <w:rPr>
          <w:lang w:eastAsia="ja-JP"/>
        </w:rPr>
        <w:t>Etat d’activité trimestriel</w:t>
      </w:r>
      <w:bookmarkEnd w:id="69"/>
      <w:bookmarkEnd w:id="70"/>
    </w:p>
    <w:p>
      <w:pPr>
        <w:rPr>
          <w:lang w:eastAsia="ja-JP"/>
        </w:rPr>
      </w:pPr>
      <w:r>
        <w:rPr>
          <w:i/>
          <w:highlight w:val="yellow"/>
          <w:lang w:eastAsia="ja-JP"/>
        </w:rPr>
        <w:t>[Pour le suivi du marché et notamment du montant maximum – à supprimer si non pertinent]</w:t>
      </w:r>
      <w:r>
        <w:rPr>
          <w:i/>
          <w:lang w:eastAsia="ja-JP"/>
        </w:rPr>
        <w:t xml:space="preserve"> </w:t>
      </w:r>
      <w:r>
        <w:rPr>
          <w:lang w:eastAsia="ja-JP"/>
        </w:rPr>
        <w:t xml:space="preserve">Le titulaire fournit à l’acheteur à une fréquence trimestrielle à compter de la notification de du marché un état de son activité au sein du présent marché. Cet état d'activité comprend </w:t>
      </w:r>
      <w:proofErr w:type="gramStart"/>
      <w:r>
        <w:rPr>
          <w:lang w:eastAsia="ja-JP"/>
        </w:rPr>
        <w:t>a</w:t>
      </w:r>
      <w:proofErr w:type="gramEnd"/>
      <w:r>
        <w:rPr>
          <w:lang w:eastAsia="ja-JP"/>
        </w:rPr>
        <w:t xml:space="preserve"> minima la liste des bons de commande émis avec leur objet, le bénéficiaire, leur montant (HT et TTC) et la date de réalisation des prestations. Il indique également les sociétés sous-traitantes déclarées à l’administration, l’objet de cette sous-traitance et le montant sous-traité. Cette liste est fournie dans un format ouvert et réutilisable (par exemple : tableur, document texte). L’acheteur pourra fournir aux titulaires un modèle à utiliser.</w:t>
      </w:r>
    </w:p>
    <w:p>
      <w:pPr>
        <w:pStyle w:val="Titre3"/>
        <w:rPr>
          <w:lang w:eastAsia="ja-JP"/>
        </w:rPr>
      </w:pPr>
      <w:bookmarkStart w:id="71" w:name="_Toc124763404"/>
      <w:bookmarkStart w:id="72" w:name="_Toc171514208"/>
      <w:r>
        <w:rPr>
          <w:lang w:eastAsia="ja-JP"/>
        </w:rPr>
        <w:t>Evaluations du titulaire</w:t>
      </w:r>
      <w:bookmarkEnd w:id="71"/>
      <w:bookmarkEnd w:id="72"/>
    </w:p>
    <w:p>
      <w:pPr>
        <w:rPr>
          <w:lang w:eastAsia="ja-JP"/>
        </w:rPr>
      </w:pPr>
      <w:r>
        <w:rPr>
          <w:lang w:eastAsia="ja-JP"/>
        </w:rPr>
        <w:t>A l’issue de chaque prestation, l’ensemble des entreprises sollicitées (titulaire mandataire et/ou cotraitant et/ou sous-traitants) est évalué par l’acheteur sur l’ensemble des prestations ayant fait l’objet du bon de commande. L’évaluation porte notamment sur :</w:t>
      </w:r>
    </w:p>
    <w:p>
      <w:pPr>
        <w:pStyle w:val="Paragraphedeliste"/>
        <w:numPr>
          <w:ilvl w:val="1"/>
          <w:numId w:val="2"/>
        </w:numPr>
        <w:rPr>
          <w:lang w:eastAsia="ja-JP"/>
        </w:rPr>
      </w:pPr>
      <w:r>
        <w:rPr>
          <w:lang w:eastAsia="ja-JP"/>
        </w:rPr>
        <w:t>Le respect des dispositions du CCP ;</w:t>
      </w:r>
    </w:p>
    <w:p>
      <w:pPr>
        <w:pStyle w:val="Paragraphedeliste"/>
        <w:numPr>
          <w:ilvl w:val="1"/>
          <w:numId w:val="2"/>
        </w:numPr>
        <w:rPr>
          <w:lang w:eastAsia="ja-JP"/>
        </w:rPr>
      </w:pPr>
      <w:r>
        <w:rPr>
          <w:lang w:eastAsia="ja-JP"/>
        </w:rPr>
        <w:t>Les moyens mis en œuvre par le prestataire ;</w:t>
      </w:r>
    </w:p>
    <w:p>
      <w:pPr>
        <w:pStyle w:val="Paragraphedeliste"/>
        <w:numPr>
          <w:ilvl w:val="1"/>
          <w:numId w:val="2"/>
        </w:numPr>
        <w:rPr>
          <w:lang w:eastAsia="ja-JP"/>
        </w:rPr>
      </w:pPr>
      <w:r>
        <w:rPr>
          <w:lang w:eastAsia="ja-JP"/>
        </w:rPr>
        <w:t>La contribution à la qualité des travaux par le prestataire ;</w:t>
      </w:r>
    </w:p>
    <w:p>
      <w:pPr>
        <w:pStyle w:val="Paragraphedeliste"/>
        <w:numPr>
          <w:ilvl w:val="1"/>
          <w:numId w:val="2"/>
        </w:numPr>
        <w:rPr>
          <w:lang w:eastAsia="ja-JP"/>
        </w:rPr>
      </w:pPr>
      <w:r>
        <w:rPr>
          <w:lang w:eastAsia="ja-JP"/>
        </w:rPr>
        <w:t>L'apport des équipes mobilisées ;</w:t>
      </w:r>
    </w:p>
    <w:p>
      <w:pPr>
        <w:pStyle w:val="Paragraphedeliste"/>
        <w:numPr>
          <w:ilvl w:val="1"/>
          <w:numId w:val="2"/>
        </w:numPr>
        <w:rPr>
          <w:lang w:eastAsia="ja-JP"/>
        </w:rPr>
      </w:pPr>
      <w:r>
        <w:rPr>
          <w:lang w:eastAsia="ja-JP"/>
        </w:rPr>
        <w:t>Le savoir-être de l’équipe.</w:t>
      </w:r>
    </w:p>
    <w:p>
      <w:pPr>
        <w:rPr>
          <w:lang w:eastAsia="ja-JP"/>
        </w:rPr>
      </w:pPr>
      <w:r>
        <w:rPr>
          <w:lang w:eastAsia="ja-JP"/>
        </w:rPr>
        <w:t>En cas de note insatisfaisante une réfaction et/ou des pénalités pourront être appliquées conformément au présent document. Dans ce cas, l’entreprise concernée dispose d’un droit de réponse sur les éléments litigieux dont les éléments seront intégrés à la fiche d’évaluation de la prestation concernée.</w:t>
      </w:r>
    </w:p>
    <w:p>
      <w:pPr>
        <w:rPr>
          <w:lang w:eastAsia="ja-JP"/>
        </w:rPr>
      </w:pPr>
      <w:r>
        <w:rPr>
          <w:lang w:eastAsia="ja-JP"/>
        </w:rPr>
        <w:t>Il est porté à la connaissance du titulaire que ces évaluations pourront faire l’objet d’une publication, sans préjudice du secret en matière industrielle et commerciale, du secret de la vie privée et du secret des affaires. Ces publications seront ainsi effectuées sur décision de l’administration et conformément aux règles applicables en matière de communication des documents administratifs, et notamment au regard des règles prévues par le code des relations entre le public et l’administration et précisées par la Commission d’accès aux documents administratifs (CADA).</w:t>
      </w:r>
    </w:p>
    <w:p>
      <w:pPr>
        <w:pStyle w:val="Titre2"/>
      </w:pPr>
      <w:bookmarkStart w:id="73" w:name="_Toc124763405"/>
      <w:bookmarkStart w:id="74" w:name="_Toc171514209"/>
      <w:r>
        <w:t>Démarrage des prestations</w:t>
      </w:r>
      <w:bookmarkEnd w:id="73"/>
      <w:bookmarkEnd w:id="74"/>
    </w:p>
    <w:p>
      <w:pPr>
        <w:pStyle w:val="Corpsdetexte"/>
        <w:rPr>
          <w:lang w:eastAsia="ja-JP"/>
        </w:rPr>
      </w:pPr>
      <w:r>
        <w:rPr>
          <w:lang w:eastAsia="ja-JP"/>
        </w:rPr>
        <w:t>A chaque nouvelle demande, le titulaire transmet les éléments suivants à l’administration :</w:t>
      </w:r>
    </w:p>
    <w:p>
      <w:pPr>
        <w:pStyle w:val="Corpsdetexte"/>
        <w:numPr>
          <w:ilvl w:val="0"/>
          <w:numId w:val="5"/>
        </w:numPr>
        <w:rPr>
          <w:lang w:eastAsia="ja-JP"/>
        </w:rPr>
      </w:pPr>
      <w:r>
        <w:rPr>
          <w:lang w:eastAsia="ja-JP"/>
        </w:rPr>
        <w:t>La/les déclarations de sous-traitance nécessaires communiquée(s) à l’acheteur pour agrément, validation et traitement ;</w:t>
      </w:r>
    </w:p>
    <w:p>
      <w:pPr>
        <w:pStyle w:val="Corpsdetexte"/>
        <w:numPr>
          <w:ilvl w:val="0"/>
          <w:numId w:val="5"/>
        </w:numPr>
        <w:rPr>
          <w:lang w:eastAsia="ja-JP"/>
        </w:rPr>
      </w:pPr>
      <w:r>
        <w:rPr>
          <w:lang w:eastAsia="ja-JP"/>
        </w:rPr>
        <w:t>L’annexe relative aux conflits d’intérêt dûment remplie, pour chaque membre de l’équipe mobilisée et au titre des activités de l’entreprise mobilisée ;</w:t>
      </w:r>
    </w:p>
    <w:p>
      <w:pPr>
        <w:pStyle w:val="Corpsdetexte"/>
        <w:numPr>
          <w:ilvl w:val="0"/>
          <w:numId w:val="5"/>
        </w:numPr>
        <w:rPr>
          <w:lang w:eastAsia="ja-JP"/>
        </w:rPr>
      </w:pPr>
      <w:r>
        <w:rPr>
          <w:lang w:eastAsia="ja-JP"/>
        </w:rPr>
        <w:t xml:space="preserve">L’annexe relative au RGPD, </w:t>
      </w:r>
      <w:proofErr w:type="spellStart"/>
      <w:r>
        <w:rPr>
          <w:lang w:eastAsia="ja-JP"/>
        </w:rPr>
        <w:t>co</w:t>
      </w:r>
      <w:proofErr w:type="spellEnd"/>
      <w:r>
        <w:rPr>
          <w:lang w:eastAsia="ja-JP"/>
        </w:rPr>
        <w:t>-remplie avec l’acheteur ;</w:t>
      </w:r>
    </w:p>
    <w:p>
      <w:pPr>
        <w:pStyle w:val="Corpsdetexte"/>
        <w:numPr>
          <w:ilvl w:val="0"/>
          <w:numId w:val="5"/>
        </w:numPr>
        <w:rPr>
          <w:lang w:eastAsia="ja-JP"/>
        </w:rPr>
      </w:pPr>
      <w:r>
        <w:rPr>
          <w:lang w:eastAsia="ja-JP"/>
        </w:rPr>
        <w:t>Tout autre document demandé par l’acheteur et nécessaire au démarrage de l’exécution des prestations matérialisée par la réception d’un bon de commande (ex. : preuve d’hébergement des données sensibles sur le territoire national).</w:t>
      </w:r>
    </w:p>
    <w:p>
      <w:pPr>
        <w:pStyle w:val="Titre1"/>
      </w:pPr>
      <w:bookmarkStart w:id="75" w:name="_Toc171514210"/>
      <w:r>
        <w:t>forme et contenu des prix</w:t>
      </w:r>
      <w:bookmarkEnd w:id="75"/>
    </w:p>
    <w:p>
      <w:pPr>
        <w:rPr>
          <w:lang w:eastAsia="ja-JP"/>
        </w:rPr>
      </w:pPr>
      <w:r>
        <w:rPr>
          <w:highlight w:val="yellow"/>
          <w:lang w:eastAsia="ja-JP"/>
        </w:rPr>
        <w:t>[A compléter selon les dispositions propres à l’acheteur : forme des prix, révision des prix, etc.]</w:t>
      </w:r>
    </w:p>
    <w:p>
      <w:pPr>
        <w:pStyle w:val="Titre1"/>
      </w:pPr>
      <w:bookmarkStart w:id="76" w:name="_Toc171514211"/>
      <w:r>
        <w:t>emission des commandes</w:t>
      </w:r>
      <w:bookmarkEnd w:id="76"/>
    </w:p>
    <w:p>
      <w:pPr>
        <w:rPr>
          <w:lang w:eastAsia="ja-JP"/>
        </w:rPr>
      </w:pPr>
      <w:r>
        <w:rPr>
          <w:highlight w:val="yellow"/>
          <w:lang w:eastAsia="ja-JP"/>
        </w:rPr>
        <w:t>[A compléter selon les dispositions propres à l’acheteur : modalités d’exécution des commandes, éléments à faire figurer dans le bon de commande, etc.]</w:t>
      </w:r>
      <w:r>
        <w:rPr>
          <w:lang w:eastAsia="ja-JP"/>
        </w:rPr>
        <w:t>.</w:t>
      </w:r>
    </w:p>
    <w:p>
      <w:pPr>
        <w:pStyle w:val="Titre1"/>
      </w:pPr>
      <w:bookmarkStart w:id="77" w:name="_Toc171514212"/>
      <w:r>
        <w:t>modalités financières générales</w:t>
      </w:r>
      <w:bookmarkEnd w:id="77"/>
    </w:p>
    <w:p>
      <w:r>
        <w:rPr>
          <w:highlight w:val="yellow"/>
          <w:lang w:eastAsia="ja-JP"/>
        </w:rPr>
        <w:t xml:space="preserve">[A compléter selon les dispositions propres à l’acheteur : </w:t>
      </w:r>
      <w:bookmarkStart w:id="78" w:name="_Toc124763416"/>
      <w:r>
        <w:rPr>
          <w:highlight w:val="yellow"/>
        </w:rPr>
        <w:t>Retenue de garantie et cautionnement</w:t>
      </w:r>
      <w:bookmarkStart w:id="79" w:name="_Toc124763417"/>
      <w:bookmarkEnd w:id="78"/>
      <w:r>
        <w:rPr>
          <w:highlight w:val="yellow"/>
        </w:rPr>
        <w:t>, avances</w:t>
      </w:r>
      <w:bookmarkEnd w:id="79"/>
      <w:r>
        <w:rPr>
          <w:highlight w:val="yellow"/>
        </w:rPr>
        <w:t xml:space="preserve"> (option A ou B du CCAG PI), </w:t>
      </w:r>
      <w:bookmarkStart w:id="80" w:name="_Toc124763418"/>
      <w:r>
        <w:rPr>
          <w:highlight w:val="yellow"/>
        </w:rPr>
        <w:t>acomptes</w:t>
      </w:r>
      <w:bookmarkStart w:id="81" w:name="_Toc124763419"/>
      <w:bookmarkEnd w:id="80"/>
      <w:r>
        <w:rPr>
          <w:highlight w:val="yellow"/>
        </w:rPr>
        <w:t>, intérêts moratoires</w:t>
      </w:r>
      <w:bookmarkStart w:id="82" w:name="_Toc124763420"/>
      <w:bookmarkEnd w:id="81"/>
      <w:r>
        <w:rPr>
          <w:highlight w:val="yellow"/>
        </w:rPr>
        <w:t>, paiement pour règlements partiels définitifs</w:t>
      </w:r>
      <w:bookmarkEnd w:id="82"/>
      <w:r>
        <w:rPr>
          <w:highlight w:val="yellow"/>
        </w:rPr>
        <w:t>, taux de TVA, monnaie, transmission des factures, etc.]</w:t>
      </w:r>
    </w:p>
    <w:p>
      <w:pPr>
        <w:pStyle w:val="Titre1"/>
      </w:pPr>
      <w:bookmarkStart w:id="83" w:name="_Toc171514213"/>
      <w:r>
        <w:t>Penalités</w:t>
      </w:r>
      <w:bookmarkEnd w:id="83"/>
    </w:p>
    <w:p>
      <w:pPr>
        <w:rPr>
          <w:lang w:eastAsia="ja-JP"/>
        </w:rPr>
      </w:pPr>
      <w:r>
        <w:rPr>
          <w:lang w:eastAsia="ja-JP"/>
        </w:rPr>
        <w:t>Tout manquement du titulaire à ses obligations contractuelles peut donner lieu à une pénalité.</w:t>
      </w:r>
    </w:p>
    <w:p>
      <w:pPr>
        <w:rPr>
          <w:lang w:eastAsia="ja-JP"/>
        </w:rPr>
      </w:pPr>
      <w:r>
        <w:rPr>
          <w:lang w:eastAsia="ja-JP"/>
        </w:rPr>
        <w:t xml:space="preserve">Les pénalités sont applicables de plein droit, sans mise en demeure préalable. </w:t>
      </w:r>
    </w:p>
    <w:p>
      <w:pPr>
        <w:rPr>
          <w:lang w:eastAsia="ja-JP"/>
        </w:rPr>
      </w:pPr>
      <w:r>
        <w:rPr>
          <w:lang w:eastAsia="ja-JP"/>
        </w:rPr>
        <w:t>Les pénalités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pPr>
        <w:rPr>
          <w:lang w:eastAsia="ja-JP"/>
        </w:rPr>
      </w:pPr>
      <w:r>
        <w:rPr>
          <w:lang w:eastAsia="ja-JP"/>
        </w:rPr>
        <w:t>L'application de pénalités est effectuée sans préjudice de la faculté de la personne publique de prononcer toute autre sanction contractuelle et notamment de faire réaliser tout ou partie du marché aux frais et risques du titulaire.</w:t>
      </w:r>
    </w:p>
    <w:p>
      <w:pPr>
        <w:rPr>
          <w:lang w:eastAsia="ja-JP"/>
        </w:rPr>
      </w:pPr>
      <w:r>
        <w:rPr>
          <w:lang w:eastAsia="ja-JP"/>
        </w:rPr>
        <w:t>Les pénalités peuvent être précomptées sur les acomptes versés au titulaire tout au long de l'exécution des prestations, lors de l'établissement des états d'acomptes, ou constituer un élément du décompte général.</w:t>
      </w:r>
    </w:p>
    <w:p>
      <w:pPr>
        <w:pStyle w:val="Titre2"/>
      </w:pPr>
      <w:bookmarkStart w:id="84" w:name="_Toc124763434"/>
      <w:bookmarkStart w:id="85" w:name="_Toc171514214"/>
      <w:r>
        <w:t>Pénalités en cas de retard liées à l’exécution des prestations</w:t>
      </w:r>
      <w:bookmarkEnd w:id="84"/>
      <w:bookmarkEnd w:id="85"/>
    </w:p>
    <w:p>
      <w:pPr>
        <w:rPr>
          <w:lang w:eastAsia="ja-JP"/>
        </w:rPr>
      </w:pPr>
      <w:r>
        <w:rPr>
          <w:lang w:eastAsia="ja-JP"/>
        </w:rPr>
        <w:t>Par dérogation au CCAG de référence, le non-respect des délais d'exécution des prestations, fixés dans les bons de commande, par le fait du titulaire entraînera l'application, sans mise en demeure préalable, de pénalités de retard calculées selon la formule suivante :</w:t>
      </w:r>
    </w:p>
    <w:p>
      <w:pPr>
        <w:rPr>
          <w:lang w:eastAsia="ja-JP"/>
        </w:rPr>
      </w:pPr>
      <w:r>
        <w:rPr>
          <w:lang w:eastAsia="ja-JP"/>
        </w:rPr>
        <w:t xml:space="preserve">P = V x R / 200 </w:t>
      </w:r>
    </w:p>
    <w:p>
      <w:pPr>
        <w:rPr>
          <w:lang w:eastAsia="ja-JP"/>
        </w:rPr>
      </w:pPr>
      <w:r>
        <w:rPr>
          <w:lang w:eastAsia="ja-JP"/>
        </w:rPr>
        <w:t>Dans laquelle :</w:t>
      </w:r>
    </w:p>
    <w:p>
      <w:pPr>
        <w:rPr>
          <w:lang w:eastAsia="ja-JP"/>
        </w:rPr>
      </w:pPr>
      <w:r>
        <w:rPr>
          <w:lang w:eastAsia="ja-JP"/>
        </w:rPr>
        <w:t>P = le montant de la pénalité ;</w:t>
      </w:r>
    </w:p>
    <w:p>
      <w:pPr>
        <w:rPr>
          <w:lang w:eastAsia="ja-JP"/>
        </w:rPr>
      </w:pPr>
      <w:r>
        <w:rPr>
          <w:lang w:eastAsia="ja-JP"/>
        </w:rPr>
        <w:t>V = la valeur de l’UO commandée ;</w:t>
      </w:r>
    </w:p>
    <w:p>
      <w:pPr>
        <w:rPr>
          <w:lang w:eastAsia="ja-JP"/>
        </w:rPr>
      </w:pPr>
      <w:r>
        <w:rPr>
          <w:lang w:eastAsia="ja-JP"/>
        </w:rPr>
        <w:t>R = le nombre de jours calendaires de retard.</w:t>
      </w:r>
    </w:p>
    <w:p>
      <w:pPr>
        <w:rPr>
          <w:lang w:eastAsia="ja-JP"/>
        </w:rPr>
      </w:pPr>
      <w:r>
        <w:rPr>
          <w:lang w:eastAsia="ja-JP"/>
        </w:rPr>
        <w:t>La valeur des prestations concernées peut être calculée sur la partie des prestations en retard ou de l’ensemble des prestations, si le retard d’exécution d’une partie rend l’ensemble inutilisable.</w:t>
      </w:r>
    </w:p>
    <w:p>
      <w:pPr>
        <w:pStyle w:val="Titre2"/>
      </w:pPr>
      <w:bookmarkStart w:id="86" w:name="_Toc171514215"/>
      <w:r>
        <w:t>Pénalités pour annulation de la part du titulaire</w:t>
      </w:r>
      <w:bookmarkEnd w:id="86"/>
    </w:p>
    <w:p>
      <w:pPr>
        <w:pStyle w:val="Corpsdetexte"/>
        <w:rPr>
          <w:lang w:eastAsia="ja-JP"/>
        </w:rPr>
      </w:pPr>
      <w:r>
        <w:rPr>
          <w:lang w:eastAsia="ja-JP"/>
        </w:rPr>
        <w:t>En cas d’annulation d’un ou de plusieurs audits [</w:t>
      </w:r>
      <w:r>
        <w:rPr>
          <w:highlight w:val="yellow"/>
          <w:lang w:eastAsia="ja-JP"/>
        </w:rPr>
        <w:t>et d’une session de formation</w:t>
      </w:r>
      <w:r>
        <w:rPr>
          <w:lang w:eastAsia="ja-JP"/>
        </w:rPr>
        <w:t xml:space="preserve">] dans un délai inférieur à 48 heures, sans reprogrammation ultérieure acceptée par l’administration, ou en cas de non présentation à la date de début de la prestation, une pénalité de </w:t>
      </w:r>
      <w:r>
        <w:rPr>
          <w:highlight w:val="yellow"/>
          <w:lang w:eastAsia="ja-JP"/>
        </w:rPr>
        <w:t>[à fixer]</w:t>
      </w:r>
      <w:r>
        <w:rPr>
          <w:lang w:eastAsia="ja-JP"/>
        </w:rPr>
        <w:t xml:space="preserve"> peut être appliquée. </w:t>
      </w:r>
    </w:p>
    <w:p>
      <w:pPr>
        <w:pStyle w:val="Titre2"/>
      </w:pPr>
      <w:bookmarkStart w:id="87" w:name="_Toc124763435"/>
      <w:bookmarkStart w:id="88" w:name="_Toc171514216"/>
      <w:r>
        <w:t>Pénalités pour non-respect des conditions d’exécution</w:t>
      </w:r>
      <w:bookmarkEnd w:id="87"/>
      <w:bookmarkEnd w:id="88"/>
    </w:p>
    <w:p>
      <w:pPr>
        <w:rPr>
          <w:lang w:eastAsia="ja-JP"/>
        </w:rPr>
      </w:pPr>
      <w:r>
        <w:rPr>
          <w:lang w:eastAsia="ja-JP"/>
        </w:rPr>
        <w:t xml:space="preserve">Par dérogation au CCAG de référence, </w:t>
      </w:r>
      <w:r>
        <w:rPr>
          <w:u w:val="single"/>
          <w:lang w:eastAsia="ja-JP"/>
        </w:rPr>
        <w:t>si le titulaire n’est pas en mesure d’affecter le profil mentionné dans son offre technique au moment du démarrage d’un projet</w:t>
      </w:r>
      <w:r>
        <w:rPr>
          <w:lang w:eastAsia="ja-JP"/>
        </w:rPr>
        <w:t xml:space="preserve">, une pénalité peut être appliquée et calculée selon la formule suivante : </w:t>
      </w:r>
    </w:p>
    <w:p>
      <w:pPr>
        <w:rPr>
          <w:lang w:eastAsia="ja-JP"/>
        </w:rPr>
      </w:pPr>
      <w:r>
        <w:rPr>
          <w:lang w:eastAsia="ja-JP"/>
        </w:rPr>
        <w:t xml:space="preserve">P = V x R / 500 </w:t>
      </w:r>
    </w:p>
    <w:p>
      <w:pPr>
        <w:rPr>
          <w:lang w:eastAsia="ja-JP"/>
        </w:rPr>
      </w:pPr>
      <w:r>
        <w:rPr>
          <w:lang w:eastAsia="ja-JP"/>
        </w:rPr>
        <w:t>Dans laquelle :</w:t>
      </w:r>
    </w:p>
    <w:p>
      <w:pPr>
        <w:rPr>
          <w:lang w:eastAsia="ja-JP"/>
        </w:rPr>
      </w:pPr>
      <w:r>
        <w:rPr>
          <w:lang w:eastAsia="ja-JP"/>
        </w:rPr>
        <w:t>P = le montant de la pénalité ;</w:t>
      </w:r>
    </w:p>
    <w:p>
      <w:pPr>
        <w:rPr>
          <w:lang w:eastAsia="ja-JP"/>
        </w:rPr>
      </w:pPr>
      <w:r>
        <w:rPr>
          <w:lang w:eastAsia="ja-JP"/>
        </w:rPr>
        <w:t>V = la valeur de l’UO commandée;</w:t>
      </w:r>
    </w:p>
    <w:p>
      <w:pPr>
        <w:rPr>
          <w:lang w:eastAsia="ja-JP"/>
        </w:rPr>
      </w:pPr>
      <w:r>
        <w:rPr>
          <w:lang w:eastAsia="ja-JP"/>
        </w:rPr>
        <w:t>R = le nombre de jours pendant lequel le profil n’a pas été correctement affecté sur la durée totale du bon de commande.</w:t>
      </w:r>
    </w:p>
    <w:p>
      <w:pPr>
        <w:rPr>
          <w:lang w:eastAsia="ja-JP"/>
        </w:rPr>
      </w:pPr>
    </w:p>
    <w:p>
      <w:pPr>
        <w:rPr>
          <w:lang w:eastAsia="ja-JP"/>
        </w:rPr>
      </w:pPr>
      <w:r>
        <w:rPr>
          <w:lang w:eastAsia="ja-JP"/>
        </w:rPr>
        <w:t xml:space="preserve">Par dérogation au CCAG de référence, </w:t>
      </w:r>
      <w:r>
        <w:rPr>
          <w:u w:val="single"/>
          <w:lang w:eastAsia="ja-JP"/>
        </w:rPr>
        <w:t>si le titulaire ne procède pas au remplacement d’un intervenant sur demande de l’administration</w:t>
      </w:r>
      <w:r>
        <w:rPr>
          <w:lang w:eastAsia="ja-JP"/>
        </w:rPr>
        <w:t xml:space="preserve"> dans les 10 jours calendaires suivants la demande motivée, celui-ci encourt une pénalité calculée selon la formule suivante : </w:t>
      </w:r>
    </w:p>
    <w:p>
      <w:pPr>
        <w:rPr>
          <w:lang w:eastAsia="ja-JP"/>
        </w:rPr>
      </w:pPr>
      <w:r>
        <w:rPr>
          <w:lang w:eastAsia="ja-JP"/>
        </w:rPr>
        <w:t xml:space="preserve">P = V x R / 500 </w:t>
      </w:r>
    </w:p>
    <w:p>
      <w:pPr>
        <w:rPr>
          <w:lang w:eastAsia="ja-JP"/>
        </w:rPr>
      </w:pPr>
      <w:r>
        <w:rPr>
          <w:lang w:eastAsia="ja-JP"/>
        </w:rPr>
        <w:t>Dans laquelle :</w:t>
      </w:r>
    </w:p>
    <w:p>
      <w:pPr>
        <w:rPr>
          <w:lang w:eastAsia="ja-JP"/>
        </w:rPr>
      </w:pPr>
      <w:r>
        <w:rPr>
          <w:lang w:eastAsia="ja-JP"/>
        </w:rPr>
        <w:t>P = le montant de la pénalité ;</w:t>
      </w:r>
    </w:p>
    <w:p>
      <w:pPr>
        <w:rPr>
          <w:lang w:eastAsia="ja-JP"/>
        </w:rPr>
      </w:pPr>
      <w:r>
        <w:rPr>
          <w:lang w:eastAsia="ja-JP"/>
        </w:rPr>
        <w:t>V = la valeur de l’UO commandée;</w:t>
      </w:r>
    </w:p>
    <w:p>
      <w:pPr>
        <w:rPr>
          <w:lang w:eastAsia="ja-JP"/>
        </w:rPr>
      </w:pPr>
      <w:r>
        <w:rPr>
          <w:lang w:eastAsia="ja-JP"/>
        </w:rPr>
        <w:t>R = le nombre de jours pendant lequel le profil n’a pas été correctement affecté sur la durée totale du bon de commande.</w:t>
      </w:r>
    </w:p>
    <w:p>
      <w:pPr>
        <w:rPr>
          <w:lang w:eastAsia="ja-JP"/>
        </w:rPr>
      </w:pPr>
    </w:p>
    <w:p>
      <w:pPr>
        <w:rPr>
          <w:lang w:eastAsia="ja-JP"/>
        </w:rPr>
      </w:pPr>
      <w:r>
        <w:rPr>
          <w:lang w:eastAsia="ja-JP"/>
        </w:rPr>
        <w:t xml:space="preserve">Par dérogation au CCAG de référence, </w:t>
      </w:r>
      <w:r>
        <w:rPr>
          <w:u w:val="single"/>
          <w:lang w:eastAsia="ja-JP"/>
        </w:rPr>
        <w:t xml:space="preserve">si le titulaire affecte un profil qui ne correspond pas à celui mentionné dans son offre technique en cours de projet </w:t>
      </w:r>
      <w:r>
        <w:rPr>
          <w:lang w:eastAsia="ja-JP"/>
        </w:rPr>
        <w:t xml:space="preserve">(ou équivalent et accepté par l’administration), celui-ci encourt une pénalité calculée selon la formule suivante : </w:t>
      </w:r>
    </w:p>
    <w:p>
      <w:pPr>
        <w:rPr>
          <w:lang w:eastAsia="ja-JP"/>
        </w:rPr>
      </w:pPr>
      <w:r>
        <w:rPr>
          <w:lang w:eastAsia="ja-JP"/>
        </w:rPr>
        <w:t>P = V x R</w:t>
      </w:r>
    </w:p>
    <w:p>
      <w:pPr>
        <w:rPr>
          <w:lang w:eastAsia="ja-JP"/>
        </w:rPr>
      </w:pPr>
      <w:r>
        <w:rPr>
          <w:lang w:eastAsia="ja-JP"/>
        </w:rPr>
        <w:t>Dans laquelle :</w:t>
      </w:r>
    </w:p>
    <w:p>
      <w:pPr>
        <w:rPr>
          <w:lang w:eastAsia="ja-JP"/>
        </w:rPr>
      </w:pPr>
      <w:r>
        <w:rPr>
          <w:lang w:eastAsia="ja-JP"/>
        </w:rPr>
        <w:t>P = le montant de la pénalité ;</w:t>
      </w:r>
    </w:p>
    <w:p>
      <w:pPr>
        <w:rPr>
          <w:lang w:eastAsia="ja-JP"/>
        </w:rPr>
      </w:pPr>
      <w:r>
        <w:rPr>
          <w:lang w:eastAsia="ja-JP"/>
        </w:rPr>
        <w:t>V = la valeur de l’UO commandée correspondant au profil facturé ;</w:t>
      </w:r>
    </w:p>
    <w:p>
      <w:pPr>
        <w:rPr>
          <w:lang w:eastAsia="ja-JP"/>
        </w:rPr>
      </w:pPr>
      <w:r>
        <w:rPr>
          <w:lang w:eastAsia="ja-JP"/>
        </w:rPr>
        <w:t>R = le nombre de jours pendant lequel le profil n’a pas été correctement affecté sur la durée totale du bon de commande.</w:t>
      </w:r>
    </w:p>
    <w:p>
      <w:pPr>
        <w:pStyle w:val="Titre2"/>
      </w:pPr>
      <w:bookmarkStart w:id="89" w:name="_Toc110006672"/>
      <w:bookmarkStart w:id="90" w:name="_Toc117675457"/>
      <w:bookmarkStart w:id="91" w:name="_Toc171514217"/>
      <w:r>
        <w:t>Pénalités sur le non-respect des exigences de sécurité des systèmes d’information</w:t>
      </w:r>
      <w:bookmarkEnd w:id="89"/>
      <w:bookmarkEnd w:id="90"/>
      <w:bookmarkEnd w:id="91"/>
    </w:p>
    <w:p>
      <w:pPr>
        <w:rPr>
          <w:lang w:eastAsia="ja-JP"/>
        </w:rPr>
      </w:pPr>
      <w:r>
        <w:rPr>
          <w:lang w:eastAsia="ja-JP"/>
        </w:rPr>
        <w:t xml:space="preserve">En cas de non-respect des obligations découlant des exigences du présent document, une pénalité forfaitaire de 5 000 € est appliquée. </w:t>
      </w:r>
    </w:p>
    <w:p>
      <w:pPr>
        <w:pStyle w:val="Titre2"/>
      </w:pPr>
      <w:bookmarkStart w:id="92" w:name="_Toc124763436"/>
      <w:bookmarkStart w:id="93" w:name="_Toc171514218"/>
      <w:r>
        <w:t xml:space="preserve">Pénalités pour absence de déclaration de conflit d’intérêt ou non-respect de l’article </w:t>
      </w:r>
      <w:bookmarkEnd w:id="92"/>
      <w:r>
        <w:t>relatif aux obligations déontologiques</w:t>
      </w:r>
      <w:bookmarkEnd w:id="93"/>
    </w:p>
    <w:p>
      <w:pPr>
        <w:pStyle w:val="Corpsdetexte"/>
        <w:rPr>
          <w:lang w:eastAsia="ja-JP"/>
        </w:rPr>
      </w:pPr>
      <w:r>
        <w:rPr>
          <w:lang w:eastAsia="ja-JP"/>
        </w:rPr>
        <w:t xml:space="preserve">En cas de non transmission à l’administration des documents mentionnés à l’article relatif aux obligations déontologiques et conformément aux annexes du présent document, ou plus généralement en cas de non-respect des obligations de l’article relatif aux obligations déontologiques, le titulaire encourt une pénalité de 5000 € pour toute omission de déclaration ou pour toute déclaration incomplète ou pour toute action contrevenant aux obligations de cet article (démarchage, </w:t>
      </w:r>
      <w:r>
        <w:rPr>
          <w:i/>
          <w:lang w:eastAsia="ja-JP"/>
        </w:rPr>
        <w:t>pro-</w:t>
      </w:r>
      <w:proofErr w:type="spellStart"/>
      <w:r>
        <w:rPr>
          <w:i/>
          <w:lang w:eastAsia="ja-JP"/>
        </w:rPr>
        <w:t>bono</w:t>
      </w:r>
      <w:proofErr w:type="spellEnd"/>
      <w:r>
        <w:rPr>
          <w:lang w:eastAsia="ja-JP"/>
        </w:rPr>
        <w:t xml:space="preserve"> non autorisé, etc.).</w:t>
      </w:r>
    </w:p>
    <w:p>
      <w:pPr>
        <w:pStyle w:val="Corpsdetexte"/>
        <w:rPr>
          <w:lang w:eastAsia="ja-JP"/>
        </w:rPr>
      </w:pPr>
      <w:r>
        <w:rPr>
          <w:lang w:eastAsia="ja-JP"/>
        </w:rPr>
        <w:t>En cas d’omission répétée, de conflit grave et avéré, de non-respect répété des obligations de l’article 9.3.5, le marché pourra être résilié.</w:t>
      </w:r>
    </w:p>
    <w:p>
      <w:pPr>
        <w:pStyle w:val="Titre2"/>
      </w:pPr>
      <w:bookmarkStart w:id="94" w:name="_Toc124763437"/>
      <w:bookmarkStart w:id="95" w:name="_Toc171514219"/>
      <w:r>
        <w:t>Pénalités liées à des obligations administratives</w:t>
      </w:r>
      <w:bookmarkEnd w:id="94"/>
      <w:bookmarkEnd w:id="95"/>
    </w:p>
    <w:p>
      <w:pPr>
        <w:rPr>
          <w:lang w:eastAsia="ja-JP"/>
        </w:rPr>
      </w:pPr>
      <w:r>
        <w:rPr>
          <w:lang w:eastAsia="ja-JP"/>
        </w:rPr>
        <w:t>En cas de modification apportée à la dénomination, au statut, aux coordonnées bancaires ou postales ou à l'adresse du titulaire (mandataire, cotraitant, sous-traitants le cas échant), sans communication de ces informations à l’acheteur dans les 30 jours à compter du fait générateur, il sera appliqué une pénalité de 50 euros par jour de retard jusqu'à la production des pièces nécessaires à la régularisation du marché. Ces pénalités concernent notamment les éléments listés aux articles 23.3 et 23.5 du présent document.</w:t>
      </w:r>
    </w:p>
    <w:p>
      <w:pPr>
        <w:pStyle w:val="Titre2"/>
      </w:pPr>
      <w:bookmarkStart w:id="96" w:name="_Toc124763440"/>
      <w:bookmarkStart w:id="97" w:name="_Toc171514220"/>
      <w:r>
        <w:t>Pénalités liées au non-respect de la règlementation applicable à la protection des données personnelles</w:t>
      </w:r>
      <w:bookmarkEnd w:id="96"/>
      <w:bookmarkEnd w:id="97"/>
    </w:p>
    <w:p>
      <w:bookmarkStart w:id="98" w:name="_Toc124763441"/>
      <w:r>
        <w:t xml:space="preserve">En cas de non-respect des obligations découlant de la règlementation en matière de protection des données personnelles et conformément à l’article 14.1.1 du CCAG de référence, une pénalité égale </w:t>
      </w:r>
      <w:r>
        <w:rPr>
          <w:b/>
        </w:rPr>
        <w:t>à 5% du montant exécuté du marché à la date de constatation du fait générateur</w:t>
      </w:r>
      <w:r>
        <w:t xml:space="preserve"> est appliquée et la CNIL notifiée.  </w:t>
      </w:r>
    </w:p>
    <w:p>
      <w:pPr>
        <w:pStyle w:val="Titre2"/>
      </w:pPr>
      <w:bookmarkStart w:id="99" w:name="_Toc171514221"/>
      <w:r>
        <w:t>Pénalités en cas d’utilisation abusive de termes non issus de la langue française</w:t>
      </w:r>
      <w:bookmarkEnd w:id="98"/>
      <w:bookmarkEnd w:id="99"/>
      <w:r>
        <w:t xml:space="preserve"> </w:t>
      </w:r>
    </w:p>
    <w:p>
      <w:r>
        <w:t xml:space="preserve">En cas d’utilisation abusive de termes non issus de la langue française, </w:t>
      </w:r>
      <w:r>
        <w:rPr>
          <w:lang w:eastAsia="ja-JP"/>
        </w:rPr>
        <w:t>le prestataire encourt</w:t>
      </w:r>
      <w:r>
        <w:t xml:space="preserve"> une pénalité de 100 € par occurrence dans le livrable.</w:t>
      </w:r>
    </w:p>
    <w:p>
      <w:pPr>
        <w:pStyle w:val="Titre2"/>
      </w:pPr>
      <w:bookmarkStart w:id="100" w:name="_Toc86307853"/>
      <w:bookmarkStart w:id="101" w:name="_Toc99637806"/>
      <w:bookmarkStart w:id="102" w:name="_Toc124763442"/>
      <w:bookmarkStart w:id="103" w:name="_Toc171514222"/>
      <w:bookmarkEnd w:id="100"/>
      <w:bookmarkEnd w:id="101"/>
      <w:r>
        <w:t>Pénalités en cas d’utilisation des sceaux, timbres, cachets ou marques de l’administration</w:t>
      </w:r>
      <w:bookmarkEnd w:id="102"/>
      <w:bookmarkEnd w:id="103"/>
      <w:r>
        <w:t xml:space="preserve"> </w:t>
      </w:r>
    </w:p>
    <w:p>
      <w:pPr>
        <w:pStyle w:val="Corpsdetexte"/>
        <w:rPr>
          <w:lang w:eastAsia="ja-JP"/>
        </w:rPr>
      </w:pPr>
      <w:r>
        <w:rPr>
          <w:lang w:eastAsia="ja-JP"/>
        </w:rPr>
        <w:t xml:space="preserve">En cas d’utilisation des sceaux, timbres, cachets ou marques de l’administration en dehors des cas prévus à l’article 9.3.4. </w:t>
      </w:r>
      <w:proofErr w:type="gramStart"/>
      <w:r>
        <w:rPr>
          <w:lang w:eastAsia="ja-JP"/>
        </w:rPr>
        <w:t>du</w:t>
      </w:r>
      <w:proofErr w:type="gramEnd"/>
      <w:r>
        <w:rPr>
          <w:lang w:eastAsia="ja-JP"/>
        </w:rPr>
        <w:t xml:space="preserve"> CCP, le prestataire encourt une pénalité de 500€ par élément utilisé à tort.</w:t>
      </w:r>
    </w:p>
    <w:p>
      <w:pPr>
        <w:pStyle w:val="Titre2"/>
      </w:pPr>
      <w:bookmarkStart w:id="104" w:name="_Toc124763444"/>
      <w:bookmarkStart w:id="105" w:name="_Toc171514223"/>
      <w:r>
        <w:t>Seuil d'exonération des pénalités</w:t>
      </w:r>
      <w:bookmarkEnd w:id="104"/>
      <w:bookmarkEnd w:id="105"/>
    </w:p>
    <w:p>
      <w:r>
        <w:t>Par dérogation au CCAG de référence, le montant des pénalités n'est pas plafonné.</w:t>
      </w:r>
    </w:p>
    <w:p>
      <w:pPr>
        <w:pStyle w:val="Titre1"/>
      </w:pPr>
      <w:bookmarkStart w:id="106" w:name="_Toc124763445"/>
      <w:bookmarkStart w:id="107" w:name="_Toc171514224"/>
      <w:r>
        <w:t>ANNULATION DES PRESTATIONS ET REMBOURSEMENT DES FRAIS REELS</w:t>
      </w:r>
      <w:bookmarkEnd w:id="106"/>
      <w:bookmarkEnd w:id="107"/>
    </w:p>
    <w:p>
      <w:pPr>
        <w:rPr>
          <w:lang w:eastAsia="ja-JP"/>
        </w:rPr>
      </w:pPr>
      <w:r>
        <w:rPr>
          <w:lang w:eastAsia="ja-JP"/>
        </w:rPr>
        <w:t>En cas d’annulation du fait de l’administration des prestations ayant fait l’objet d’un bon de commande, celle-ci reste redevable des frais réels engagés par le prestataire. Le paiement de ces frais sera effectué sur présentation des justificatifs et ne devra pas conduire à l’enrichissement sans cause du titulaire. Le paiement de ces frais réels est calculé en fonction de la date de livraison prévue.</w:t>
      </w:r>
    </w:p>
    <w:p>
      <w:pPr>
        <w:rPr>
          <w:lang w:eastAsia="ja-JP"/>
        </w:rPr>
      </w:pPr>
      <w:r>
        <w:rPr>
          <w:lang w:eastAsia="ja-JP"/>
        </w:rPr>
        <w:t>Conformément à l’article 22 du CCAG de référence, si les prestations sont scindées en plusieurs parties techniques à exécuter distinctement, clairement identifiées et chacune assortie d’un montant, l’acheteur peut décider, de sa propre initiative ou à la demande du titulaire, de ne pas poursuivre l’exécution des prestations. Cette décision ne donne pas lieu à indemnité. Par dérogation au CCAG PI, cette décision ne donne pas lieu à la résiliation du marché mais à la clôture du bon de commande après paiement des parties techniques effectuées.</w:t>
      </w:r>
    </w:p>
    <w:p>
      <w:pPr>
        <w:pStyle w:val="Titre1"/>
      </w:pPr>
      <w:bookmarkStart w:id="108" w:name="_Toc124763446"/>
      <w:bookmarkStart w:id="109" w:name="_Toc171514225"/>
      <w:r>
        <w:t>MODALITES DE FACTURATION</w:t>
      </w:r>
      <w:bookmarkEnd w:id="108"/>
      <w:bookmarkEnd w:id="109"/>
    </w:p>
    <w:p>
      <w:pPr>
        <w:rPr>
          <w:lang w:eastAsia="ja-JP"/>
        </w:rPr>
      </w:pPr>
      <w:r>
        <w:rPr>
          <w:highlight w:val="yellow"/>
          <w:lang w:eastAsia="ja-JP"/>
        </w:rPr>
        <w:t>[A compléter selon les dispositions propres à l’acheteur : modalités transmission des factures, éléments à faire figurer, etc.]</w:t>
      </w:r>
    </w:p>
    <w:p>
      <w:pPr>
        <w:pStyle w:val="Titre1"/>
      </w:pPr>
      <w:bookmarkStart w:id="110" w:name="_Toc124763447"/>
      <w:bookmarkStart w:id="111" w:name="_Toc171514226"/>
      <w:r>
        <w:t>REGIME DES DROITS DE PROPRIETE INTELLECTUELLE</w:t>
      </w:r>
      <w:bookmarkEnd w:id="110"/>
      <w:bookmarkEnd w:id="111"/>
    </w:p>
    <w:p>
      <w:r>
        <w:t xml:space="preserve">Le présent marché fait application des articles 32 à 37 du CCAG-PI. </w:t>
      </w:r>
    </w:p>
    <w:p>
      <w:r>
        <w:t xml:space="preserve">Les résultats, connaissances antérieures et connaissances antérieures standards sont définis dans l’article 32 du CCAG de référence. </w:t>
      </w:r>
    </w:p>
    <w:p>
      <w:r>
        <w:t xml:space="preserve">En complément du CCAG de référence, les connaissances antérieures et les connaissances antérieures standards utilisées par le titulaire pour la réalisation des prestations sont listées dans l’offre finale du marché ou dans le devis donnant lieu à bon de commande, et au fur et à mesure de l’exécution du marché. Par ailleurs et conformément aux dispositions de l’article 34.2, le titulaire s’engage à obtenir l’accord préalable de l’acheteur préalablement à l’utilisation de connaissances antérieures standards non listées dans l’offre. </w:t>
      </w:r>
    </w:p>
    <w:p>
      <w:r>
        <w:t xml:space="preserve">En précision de l’article 35.1.2, l’ensemble des résultats intermédiaires et finaux sont considérés comme confidentiels et donc cédés à titre exclusif, </w:t>
      </w:r>
      <w:r>
        <w:rPr>
          <w:highlight w:val="yellow"/>
        </w:rPr>
        <w:t>sauf en ce qui concerne les supports de formation [mention à conserver uniquement si UO formation conservée]</w:t>
      </w:r>
      <w:r>
        <w:t>.</w:t>
      </w:r>
    </w:p>
    <w:p>
      <w:r>
        <w:t>Par dérogation à l’article 35.3.2 du CCAG-PI, le titulaire ne peut publier les résultats du marché.</w:t>
      </w:r>
    </w:p>
    <w:p>
      <w:r>
        <w:t xml:space="preserve">En complément des finalités d’utilisation des résultats listées à l’article 35.1.1 du CCAG de référence, s’ajoutent les droits de mutualisation avec d’autres entités publiques. </w:t>
      </w:r>
    </w:p>
    <w:p>
      <w:pPr>
        <w:pStyle w:val="Titre1"/>
      </w:pPr>
      <w:bookmarkStart w:id="112" w:name="_Toc86307859"/>
      <w:bookmarkStart w:id="113" w:name="_Toc99637812"/>
      <w:bookmarkStart w:id="114" w:name="_Toc86307884"/>
      <w:bookmarkStart w:id="115" w:name="_Toc99637837"/>
      <w:bookmarkStart w:id="116" w:name="_Toc86307893"/>
      <w:bookmarkStart w:id="117" w:name="_Toc99637846"/>
      <w:bookmarkStart w:id="118" w:name="_Toc86307897"/>
      <w:bookmarkStart w:id="119" w:name="_Toc99637850"/>
      <w:bookmarkStart w:id="120" w:name="_Toc124763448"/>
      <w:bookmarkStart w:id="121" w:name="_Toc171514227"/>
      <w:bookmarkEnd w:id="112"/>
      <w:bookmarkEnd w:id="113"/>
      <w:bookmarkEnd w:id="114"/>
      <w:bookmarkEnd w:id="115"/>
      <w:bookmarkEnd w:id="116"/>
      <w:bookmarkEnd w:id="117"/>
      <w:bookmarkEnd w:id="118"/>
      <w:bookmarkEnd w:id="119"/>
      <w:r>
        <w:t>TRAITEMENT DES DONNEES A CARACTERE PERSONNEL</w:t>
      </w:r>
      <w:bookmarkEnd w:id="120"/>
      <w:bookmarkEnd w:id="121"/>
    </w:p>
    <w:p>
      <w:pPr>
        <w:rPr>
          <w:lang w:eastAsia="ja-JP"/>
        </w:rPr>
      </w:pPr>
      <w:r>
        <w:rPr>
          <w:lang w:eastAsia="ja-JP"/>
        </w:rPr>
        <w:t>Dans le cadre du présent marché, les parties s'engagent à respecter la réglementation en vigueur applicable au traitement de données à caractère personnel et, notamment le RGPD et la loi n°78-17 du 6 janvier 1978 relative à l'informatique, aux fichiers et aux libertés.</w:t>
      </w:r>
    </w:p>
    <w:p>
      <w:pPr>
        <w:rPr>
          <w:lang w:eastAsia="ja-JP"/>
        </w:rPr>
      </w:pPr>
      <w:r>
        <w:rPr>
          <w:lang w:eastAsia="ja-JP"/>
        </w:rPr>
        <w:t>Pour l'application du présent article, le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règlement général sur la protection des données » ou RGPD) est l’administration commanditaire et le sous-traitant est le titulaire du marché public.</w:t>
      </w:r>
    </w:p>
    <w:p>
      <w:pPr>
        <w:rPr>
          <w:lang w:eastAsia="ja-JP"/>
        </w:rPr>
      </w:pPr>
      <w:r>
        <w:rPr>
          <w:lang w:eastAsia="ja-JP"/>
        </w:rPr>
        <w:t xml:space="preserve">Afin de permettre l’applicabilité du RGPD, le responsable de traitement et son sous-traitant doivent remplir l’annexe 1 du présent document, dès que des données à caractère personnelles sont concernées par les prestations commandées. Ce document complémentaire, signé conjointement par le responsable de traitement et le prestataire extérieur, devenant ainsi sous-traitant au sens du RGPD, fixera le cadre précis dans lequel le sous-traitant se verra confier une partie de ces traitements. Cette annexe est complétée par l’administration dès la réunion de cadrage de la prestation avec le titulaire désigné. </w:t>
      </w:r>
    </w:p>
    <w:p>
      <w:pPr>
        <w:pStyle w:val="Titre1"/>
      </w:pPr>
      <w:bookmarkStart w:id="122" w:name="_Toc124763449"/>
      <w:bookmarkStart w:id="123" w:name="_Toc171514228"/>
      <w:r>
        <w:t>SOUS-TRAITANCE</w:t>
      </w:r>
      <w:bookmarkEnd w:id="122"/>
      <w:bookmarkEnd w:id="123"/>
    </w:p>
    <w:p>
      <w:pPr>
        <w:rPr>
          <w:lang w:eastAsia="ja-JP"/>
        </w:rPr>
      </w:pPr>
      <w:r>
        <w:rPr>
          <w:lang w:eastAsia="ja-JP"/>
        </w:rPr>
        <w:t>Le titulaire peut faire appel à un sous-traitant pour mener des activités liées à l’objet du marché. Dans ce cas, il informe préalablement et par écrit l’acheteur de tout changement envisagé concernant l’ajout de sous-traitants. Cette information doit indiquer clairement les activités de traitement sous-traitées, l’identité et les coordonnées du sous-traitant et les dates du marché. Il est de la responsabilité du titulaire de s’assurer que le sous-traitant déclaré en cours d’exécution ne réalise pas des prestations qui ont déjà fait l’objet d’une sous-traitance.</w:t>
      </w:r>
    </w:p>
    <w:p>
      <w:pPr>
        <w:rPr>
          <w:lang w:eastAsia="ja-JP"/>
        </w:rPr>
      </w:pPr>
      <w:r>
        <w:rPr>
          <w:lang w:eastAsia="ja-JP"/>
        </w:rPr>
        <w:t>La demande d’agrément concernant l’ajout d’un sous-traitant en cours d’exécution du marché doit être effectuée avant le démarrage des prestations, sous peine de nullité du bon de commande affecté par l’absence d’anticipation.</w:t>
      </w:r>
    </w:p>
    <w:p>
      <w:pPr>
        <w:rPr>
          <w:lang w:eastAsia="ja-JP"/>
        </w:rPr>
      </w:pPr>
      <w:r>
        <w:rPr>
          <w:lang w:eastAsia="ja-JP"/>
        </w:rPr>
        <w:t xml:space="preserve">Le titulaire ou les membres d’un groupement doivent mettre en place des contrôles destinés à s’assurer que le sous-traitant n’entretient pas de lien contraire à la déontologie, que les mesures de sécurité informatique – protection des données – applicables au présent marché soient respectées et que la cession </w:t>
      </w:r>
      <w:proofErr w:type="gramStart"/>
      <w:r>
        <w:rPr>
          <w:lang w:eastAsia="ja-JP"/>
        </w:rPr>
        <w:t>des droit</w:t>
      </w:r>
      <w:proofErr w:type="gramEnd"/>
      <w:r>
        <w:rPr>
          <w:lang w:eastAsia="ja-JP"/>
        </w:rPr>
        <w:t xml:space="preserve"> de propriété intellectuelle soit assurée. </w:t>
      </w:r>
    </w:p>
    <w:p>
      <w:pPr>
        <w:rPr>
          <w:lang w:eastAsia="ja-JP"/>
        </w:rPr>
      </w:pPr>
      <w:r>
        <w:rPr>
          <w:lang w:eastAsia="ja-JP"/>
        </w:rPr>
        <w:t>Le titulaire reste seul et unique interlocuteur de l’administration ; il est responsable des prestations réalisées par ses sous-traitants et partenaires éventuels. L’acceptation du sous-traitant par l’administration et l’agrément de ses conditions de paiement sont constatés par la notification d’un acte spécial de sous-traitance.</w:t>
      </w:r>
    </w:p>
    <w:p>
      <w:pPr>
        <w:rPr>
          <w:rFonts w:ascii="Calibri" w:hAnsi="Calibri"/>
        </w:rPr>
      </w:pPr>
      <w:r>
        <w:rPr>
          <w:lang w:eastAsia="ja-JP"/>
        </w:rPr>
        <w:t>Afin d'obtenir l'acceptation et l'agrément de l’administration, le titulaire doit présenter son sous-traitant par le biais de l'acte spécial de sous-traitance, dont les formalités sont comprises dans le formulaire DC4 ou équivalent (téléchargeable sur https://www.economie.gouv.fr/daj/formulaires-declaration-du-candidat).</w:t>
      </w:r>
    </w:p>
    <w:p>
      <w:pPr>
        <w:rPr>
          <w:lang w:eastAsia="ja-JP"/>
        </w:rPr>
      </w:pPr>
      <w:r>
        <w:rPr>
          <w:lang w:eastAsia="ja-JP"/>
        </w:rPr>
        <w:t>En vue de s’assurer de cette acceptation et de cet agrément, le titulaire qui souhaite, en cours d’exécution, avoir recours à un ou des sous-traitants, remet à l’acheteur une déclaration mentionnant :</w:t>
      </w:r>
    </w:p>
    <w:p>
      <w:pPr>
        <w:pStyle w:val="Paragraphedeliste"/>
        <w:numPr>
          <w:ilvl w:val="0"/>
          <w:numId w:val="5"/>
        </w:numPr>
        <w:rPr>
          <w:lang w:eastAsia="ja-JP"/>
        </w:rPr>
      </w:pPr>
      <w:proofErr w:type="gramStart"/>
      <w:r>
        <w:rPr>
          <w:lang w:eastAsia="ja-JP"/>
        </w:rPr>
        <w:t>la</w:t>
      </w:r>
      <w:proofErr w:type="gramEnd"/>
      <w:r>
        <w:rPr>
          <w:lang w:eastAsia="ja-JP"/>
        </w:rPr>
        <w:t xml:space="preserve"> nature des prestations dont la sous-traitance est envisagée,</w:t>
      </w:r>
    </w:p>
    <w:p>
      <w:pPr>
        <w:pStyle w:val="Paragraphedeliste"/>
        <w:numPr>
          <w:ilvl w:val="0"/>
          <w:numId w:val="5"/>
        </w:numPr>
        <w:rPr>
          <w:lang w:eastAsia="ja-JP"/>
        </w:rPr>
      </w:pPr>
      <w:proofErr w:type="gramStart"/>
      <w:r>
        <w:rPr>
          <w:lang w:eastAsia="ja-JP"/>
        </w:rPr>
        <w:t>les</w:t>
      </w:r>
      <w:proofErr w:type="gramEnd"/>
      <w:r>
        <w:rPr>
          <w:lang w:eastAsia="ja-JP"/>
        </w:rPr>
        <w:t xml:space="preserve"> conditions d’intervention du sous-traitant,</w:t>
      </w:r>
    </w:p>
    <w:p>
      <w:pPr>
        <w:pStyle w:val="Paragraphedeliste"/>
        <w:numPr>
          <w:ilvl w:val="0"/>
          <w:numId w:val="5"/>
        </w:numPr>
        <w:rPr>
          <w:lang w:eastAsia="ja-JP"/>
        </w:rPr>
      </w:pPr>
      <w:proofErr w:type="gramStart"/>
      <w:r>
        <w:rPr>
          <w:lang w:eastAsia="ja-JP"/>
        </w:rPr>
        <w:t>le</w:t>
      </w:r>
      <w:proofErr w:type="gramEnd"/>
      <w:r>
        <w:rPr>
          <w:lang w:eastAsia="ja-JP"/>
        </w:rPr>
        <w:t xml:space="preserve"> nom, la raison ou la dénomination sociale et l’adresse du sous-traitant proposé à l’acceptation de l’administration,</w:t>
      </w:r>
    </w:p>
    <w:p>
      <w:pPr>
        <w:pStyle w:val="Paragraphedeliste"/>
        <w:numPr>
          <w:ilvl w:val="0"/>
          <w:numId w:val="5"/>
        </w:numPr>
        <w:rPr>
          <w:lang w:eastAsia="ja-JP"/>
        </w:rPr>
      </w:pPr>
      <w:proofErr w:type="gramStart"/>
      <w:r>
        <w:rPr>
          <w:lang w:eastAsia="ja-JP"/>
        </w:rPr>
        <w:t>les</w:t>
      </w:r>
      <w:proofErr w:type="gramEnd"/>
      <w:r>
        <w:rPr>
          <w:lang w:eastAsia="ja-JP"/>
        </w:rPr>
        <w:t xml:space="preserve"> capacités financières et professionnelles du sous-traitant,</w:t>
      </w:r>
    </w:p>
    <w:p>
      <w:pPr>
        <w:pStyle w:val="Paragraphedeliste"/>
        <w:numPr>
          <w:ilvl w:val="0"/>
          <w:numId w:val="5"/>
        </w:numPr>
        <w:rPr>
          <w:lang w:eastAsia="ja-JP"/>
        </w:rPr>
      </w:pPr>
      <w:proofErr w:type="gramStart"/>
      <w:r>
        <w:rPr>
          <w:lang w:eastAsia="ja-JP"/>
        </w:rPr>
        <w:t>le</w:t>
      </w:r>
      <w:proofErr w:type="gramEnd"/>
      <w:r>
        <w:rPr>
          <w:lang w:eastAsia="ja-JP"/>
        </w:rPr>
        <w:t xml:space="preserve"> montant estimatif maximum qu’il est envisagé de sous-traiter,</w:t>
      </w:r>
    </w:p>
    <w:p>
      <w:pPr>
        <w:pStyle w:val="Paragraphedeliste"/>
        <w:numPr>
          <w:ilvl w:val="0"/>
          <w:numId w:val="5"/>
        </w:numPr>
        <w:rPr>
          <w:lang w:eastAsia="ja-JP"/>
        </w:rPr>
      </w:pPr>
      <w:proofErr w:type="gramStart"/>
      <w:r>
        <w:rPr>
          <w:lang w:eastAsia="ja-JP"/>
        </w:rPr>
        <w:t>le</w:t>
      </w:r>
      <w:proofErr w:type="gramEnd"/>
      <w:r>
        <w:rPr>
          <w:lang w:eastAsia="ja-JP"/>
        </w:rPr>
        <w:t xml:space="preserve"> compte à créditer.</w:t>
      </w:r>
    </w:p>
    <w:p>
      <w:pPr>
        <w:rPr>
          <w:lang w:eastAsia="ja-JP"/>
        </w:rPr>
      </w:pPr>
      <w:r>
        <w:rPr>
          <w:lang w:eastAsia="ja-JP"/>
        </w:rPr>
        <w:t>Le pouvoir adjudicateur dispose d’un délai de 21 jours à compter de la date de réception du formulaire DC4 pour présenter ses objections. Cette sous-traitance ne peut être effectuée que si l’administration n'a pas émis d'objection pendant le délai convenu. Ce délai court uniquement si la déclaration DC4 reçue ainsi que les documents justificatifs nécessaires, et, le cas échéant, si la remise de l'exemplaire unique pour nantissement (ou du certificat de cessibilité) est correctement complétée.</w:t>
      </w:r>
    </w:p>
    <w:p>
      <w:pPr>
        <w:rPr>
          <w:lang w:eastAsia="ja-JP"/>
        </w:rPr>
      </w:pPr>
      <w:r>
        <w:rPr>
          <w:lang w:eastAsia="ja-JP"/>
        </w:rPr>
        <w:t>Le sous-traitant est tenu de respecter les obligations du présent marché pour le compte et selon les instructions de l’administration.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l’administration de l’exécution par le ou les sous-traitant(s) de ses obligations.</w:t>
      </w:r>
    </w:p>
    <w:p>
      <w:pPr>
        <w:rPr>
          <w:lang w:eastAsia="ja-JP"/>
        </w:rPr>
      </w:pPr>
      <w:r>
        <w:rPr>
          <w:lang w:eastAsia="ja-JP"/>
        </w:rPr>
        <w:t>En application des dispositions de l'article L.2193-2 du code de la commande publique, il appartient au sous-traitant qui, le cas échéant, fait appel à un sous-traitant de second rang, de faire accepter et agréer les conditions de paiement de ce sous-traitant de second rang par l’acheteur. L’acte spécial de sous-traitance (formulaire DC4) doit être signé par le titulaire, le sous-traitant de premier rang et le sous-traitant de second rang avant sa transmission à l’acheteur (contre récépissé ou lettre recommandée). Les conditions d’acceptation sont les mêmes que pour celles d’un sous-traitant de premier rang.</w:t>
      </w:r>
    </w:p>
    <w:p>
      <w:pPr>
        <w:rPr>
          <w:lang w:eastAsia="ja-JP"/>
        </w:rPr>
      </w:pPr>
      <w:r>
        <w:rPr>
          <w:lang w:eastAsia="ja-JP"/>
        </w:rPr>
        <w:t>L'acceptation des sous-traitants et l'agrément de leurs conditions de paiement sont soumis aux dispositions légales et réglementaires en vigueur. Le pouvoir adjudicateur vérifie notamment :</w:t>
      </w:r>
    </w:p>
    <w:p>
      <w:pPr>
        <w:pStyle w:val="Paragraphedeliste"/>
        <w:numPr>
          <w:ilvl w:val="0"/>
          <w:numId w:val="5"/>
        </w:numPr>
        <w:rPr>
          <w:lang w:eastAsia="ja-JP"/>
        </w:rPr>
      </w:pPr>
      <w:proofErr w:type="gramStart"/>
      <w:r>
        <w:rPr>
          <w:lang w:eastAsia="ja-JP"/>
        </w:rPr>
        <w:t>que</w:t>
      </w:r>
      <w:proofErr w:type="gramEnd"/>
      <w:r>
        <w:rPr>
          <w:lang w:eastAsia="ja-JP"/>
        </w:rPr>
        <w:t xml:space="preserve"> le sous-traitant est à jour de ses obligations sociales et fiscales, </w:t>
      </w:r>
    </w:p>
    <w:p>
      <w:pPr>
        <w:pStyle w:val="Paragraphedeliste"/>
        <w:numPr>
          <w:ilvl w:val="0"/>
          <w:numId w:val="5"/>
        </w:numPr>
        <w:rPr>
          <w:lang w:eastAsia="ja-JP"/>
        </w:rPr>
      </w:pPr>
      <w:proofErr w:type="gramStart"/>
      <w:r>
        <w:rPr>
          <w:lang w:eastAsia="ja-JP"/>
        </w:rPr>
        <w:t>que</w:t>
      </w:r>
      <w:proofErr w:type="gramEnd"/>
      <w:r>
        <w:rPr>
          <w:lang w:eastAsia="ja-JP"/>
        </w:rPr>
        <w:t xml:space="preserve"> le sous-traitant présente des capacités techniques, professionnelles et financières suffisantes pour réaliser les prestations,</w:t>
      </w:r>
    </w:p>
    <w:p>
      <w:pPr>
        <w:pStyle w:val="Paragraphedeliste"/>
        <w:numPr>
          <w:ilvl w:val="0"/>
          <w:numId w:val="5"/>
        </w:numPr>
        <w:rPr>
          <w:lang w:eastAsia="ja-JP"/>
        </w:rPr>
      </w:pPr>
      <w:proofErr w:type="gramStart"/>
      <w:r>
        <w:rPr>
          <w:lang w:eastAsia="ja-JP"/>
        </w:rPr>
        <w:t>que</w:t>
      </w:r>
      <w:proofErr w:type="gramEnd"/>
      <w:r>
        <w:rPr>
          <w:lang w:eastAsia="ja-JP"/>
        </w:rPr>
        <w:t xml:space="preserve"> les prestations faisant l’objet de la sous-traitance sont prévues par le marché, </w:t>
      </w:r>
    </w:p>
    <w:p>
      <w:pPr>
        <w:pStyle w:val="Paragraphedeliste"/>
        <w:numPr>
          <w:ilvl w:val="0"/>
          <w:numId w:val="5"/>
        </w:numPr>
        <w:rPr>
          <w:lang w:eastAsia="ja-JP"/>
        </w:rPr>
      </w:pPr>
      <w:proofErr w:type="gramStart"/>
      <w:r>
        <w:rPr>
          <w:lang w:eastAsia="ja-JP"/>
        </w:rPr>
        <w:t>que</w:t>
      </w:r>
      <w:proofErr w:type="gramEnd"/>
      <w:r>
        <w:rPr>
          <w:lang w:eastAsia="ja-JP"/>
        </w:rPr>
        <w:t xml:space="preserve"> les prestations sous-traitées ne font pas déjà l’objet d’un acte de sous-traitance,</w:t>
      </w:r>
    </w:p>
    <w:p>
      <w:pPr>
        <w:pStyle w:val="Paragraphedeliste"/>
        <w:numPr>
          <w:ilvl w:val="0"/>
          <w:numId w:val="5"/>
        </w:numPr>
        <w:rPr>
          <w:lang w:eastAsia="ja-JP"/>
        </w:rPr>
      </w:pPr>
      <w:proofErr w:type="gramStart"/>
      <w:r>
        <w:rPr>
          <w:lang w:eastAsia="ja-JP"/>
        </w:rPr>
        <w:t>que</w:t>
      </w:r>
      <w:proofErr w:type="gramEnd"/>
      <w:r>
        <w:rPr>
          <w:lang w:eastAsia="ja-JP"/>
        </w:rPr>
        <w:t xml:space="preserve"> la déclaration de sous-traitance n’entraine pas une modification substantielle de l’offre et de la candidature du titulaire ;</w:t>
      </w:r>
    </w:p>
    <w:p>
      <w:pPr>
        <w:pStyle w:val="Paragraphedeliste"/>
        <w:numPr>
          <w:ilvl w:val="0"/>
          <w:numId w:val="5"/>
        </w:numPr>
        <w:rPr>
          <w:lang w:eastAsia="ja-JP"/>
        </w:rPr>
      </w:pPr>
      <w:proofErr w:type="gramStart"/>
      <w:r>
        <w:rPr>
          <w:lang w:eastAsia="ja-JP"/>
        </w:rPr>
        <w:t>que</w:t>
      </w:r>
      <w:proofErr w:type="gramEnd"/>
      <w:r>
        <w:rPr>
          <w:lang w:eastAsia="ja-JP"/>
        </w:rPr>
        <w:t xml:space="preserve"> le montant (estimé ou maximum) des prestations sous-traitées n’entraine pas un dépassement du montant maximum du lot concerné au regard du montant des commandes déjà engagées et des montants des sous-traitances déjà déclarées.</w:t>
      </w:r>
    </w:p>
    <w:p>
      <w:pPr>
        <w:rPr>
          <w:lang w:eastAsia="ja-JP"/>
        </w:rPr>
      </w:pPr>
      <w:r>
        <w:rPr>
          <w:lang w:eastAsia="ja-JP"/>
        </w:rPr>
        <w:t>A ce titre, le titulaire fournit à l’appui du DC4 les documents suivants pour les sous-traitants établis en France :</w:t>
      </w:r>
    </w:p>
    <w:p>
      <w:pPr>
        <w:pStyle w:val="Paragraphedeliste"/>
        <w:numPr>
          <w:ilvl w:val="0"/>
          <w:numId w:val="5"/>
        </w:numPr>
        <w:rPr>
          <w:lang w:eastAsia="ja-JP"/>
        </w:rPr>
      </w:pPr>
      <w:r>
        <w:rPr>
          <w:lang w:eastAsia="ja-JP"/>
        </w:rPr>
        <w:t>Le relevé d'identité bancaire ou équivalent du sous-traitant ;</w:t>
      </w:r>
    </w:p>
    <w:p>
      <w:pPr>
        <w:pStyle w:val="Paragraphedeliste"/>
        <w:widowControl w:val="0"/>
        <w:numPr>
          <w:ilvl w:val="0"/>
          <w:numId w:val="5"/>
        </w:numPr>
        <w:suppressAutoHyphens/>
        <w:spacing w:before="57" w:after="0"/>
        <w:textAlignment w:val="center"/>
      </w:pPr>
      <w:r>
        <w:t>Le certificat de conformité aux obligations fiscales (au titre de l'impôt sur le revenu, de l'impôt sur les sociétés et/ou de la taxe sur la valeur ajoutée (TVA) ;</w:t>
      </w:r>
    </w:p>
    <w:p>
      <w:pPr>
        <w:pStyle w:val="Paragraphedeliste"/>
        <w:widowControl w:val="0"/>
        <w:numPr>
          <w:ilvl w:val="0"/>
          <w:numId w:val="5"/>
        </w:numPr>
        <w:suppressAutoHyphens/>
        <w:spacing w:before="57" w:after="0"/>
        <w:textAlignment w:val="center"/>
      </w:pPr>
      <w:r>
        <w:t>Le certificat de l'article L. 243-15 du code de la sécurité sociale, connu sous le nom d'attestation de vigilance (attention, ces attestations sont valables 6 mois) ;</w:t>
      </w:r>
    </w:p>
    <w:p>
      <w:pPr>
        <w:pStyle w:val="Paragraphedeliste"/>
        <w:numPr>
          <w:ilvl w:val="0"/>
          <w:numId w:val="5"/>
        </w:numPr>
      </w:pPr>
      <w:r>
        <w:t xml:space="preserve">En cas de redressement judiciaire, ou une procédure équivalente régie par un droit étranger, la copie du ou des jugements prononcés ; </w:t>
      </w:r>
    </w:p>
    <w:p>
      <w:pPr>
        <w:pStyle w:val="Paragraphedeliste"/>
        <w:numPr>
          <w:ilvl w:val="0"/>
          <w:numId w:val="5"/>
        </w:numPr>
      </w:pPr>
      <w:r>
        <w:t>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travail ;</w:t>
      </w:r>
    </w:p>
    <w:p>
      <w:pPr>
        <w:pStyle w:val="Paragraphedeliste"/>
        <w:numPr>
          <w:ilvl w:val="0"/>
          <w:numId w:val="5"/>
        </w:numPr>
      </w:pPr>
      <w:r>
        <w:t>Une attestation de détention d’une police d’assurances ;</w:t>
      </w:r>
    </w:p>
    <w:p>
      <w:pPr>
        <w:pStyle w:val="Paragraphedeliste"/>
        <w:numPr>
          <w:ilvl w:val="0"/>
          <w:numId w:val="5"/>
        </w:numPr>
      </w:pPr>
      <w:r>
        <w:t xml:space="preserve">Un extrait du registre pertinent au sens du IV de l'article R.2143-9 du code de la commande publique, tel qu'un extrait K, un extrait K bis, un extrait D1 ; </w:t>
      </w:r>
    </w:p>
    <w:p>
      <w:pPr>
        <w:pStyle w:val="Paragraphedeliste"/>
        <w:numPr>
          <w:ilvl w:val="0"/>
          <w:numId w:val="5"/>
        </w:numPr>
      </w:pPr>
      <w:r>
        <w:t>Pour les entreprises en cours d'inscription - un récépissé de dépôt de déclaration auprès d'un centre de formalités des entreprises (CFE).</w:t>
      </w:r>
    </w:p>
    <w:p>
      <w:pPr>
        <w:rPr>
          <w:lang w:eastAsia="ja-JP"/>
        </w:rPr>
      </w:pPr>
      <w:r>
        <w:rPr>
          <w:lang w:eastAsia="ja-JP"/>
        </w:rPr>
        <w:t>Si le sous-traitant n’est pas établi en France, une liste équivalente sera adressée au titulaire.</w:t>
      </w:r>
    </w:p>
    <w:p>
      <w:pPr>
        <w:rPr>
          <w:b/>
          <w:lang w:eastAsia="ja-JP"/>
        </w:rPr>
      </w:pPr>
      <w:r>
        <w:rPr>
          <w:b/>
          <w:lang w:eastAsia="ja-JP"/>
        </w:rPr>
        <w:t>La sous-traitance totale des prestations est interdite.</w:t>
      </w:r>
    </w:p>
    <w:p>
      <w:pPr>
        <w:rPr>
          <w:lang w:eastAsia="ja-JP"/>
        </w:rPr>
      </w:pPr>
      <w:r>
        <w:rPr>
          <w:lang w:eastAsia="ja-JP"/>
        </w:rPr>
        <w:t>La reconduction de la déclaration de sous-traitance s’effectue dans les mêmes conditions que le marché.</w:t>
      </w:r>
      <w:r>
        <w:t xml:space="preserve"> </w:t>
      </w:r>
      <w:r>
        <w:rPr>
          <w:lang w:eastAsia="ja-JP"/>
        </w:rPr>
        <w:t>Ainsi, l’acte de sous-traitance est valide pour la durée du marché et de ses reconductions.</w:t>
      </w:r>
    </w:p>
    <w:p>
      <w:pPr>
        <w:rPr>
          <w:lang w:eastAsia="ja-JP"/>
        </w:rPr>
      </w:pPr>
      <w:r>
        <w:rPr>
          <w:lang w:eastAsia="ja-JP"/>
        </w:rPr>
        <w:t>En application des dispositions de l'article L.2193-7 du code de la commande publique, le titulaire communique le ou les contrats de sous-traitance à l’acheteur lorsque ce dernier lui en fait la demande sous 15 jours dès réception de la demande. A défaut de l'avoir produit, le titulaire encourt une pénalité en application des modalités prévues par le CCAG de référence.</w:t>
      </w:r>
    </w:p>
    <w:p>
      <w:pPr>
        <w:pStyle w:val="Titre1"/>
      </w:pPr>
      <w:bookmarkStart w:id="124" w:name="_Toc124763450"/>
      <w:bookmarkStart w:id="125" w:name="_Toc171514229"/>
      <w:r>
        <w:t>DISPOSITIONS DIVERSES</w:t>
      </w:r>
      <w:bookmarkEnd w:id="124"/>
      <w:bookmarkEnd w:id="125"/>
    </w:p>
    <w:p>
      <w:pPr>
        <w:pStyle w:val="Titre2"/>
      </w:pPr>
      <w:bookmarkStart w:id="126" w:name="_Toc124763451"/>
      <w:bookmarkStart w:id="127" w:name="_Toc171514230"/>
      <w:r>
        <w:t>Langue</w:t>
      </w:r>
      <w:bookmarkEnd w:id="126"/>
      <w:bookmarkEnd w:id="127"/>
    </w:p>
    <w:p>
      <w:pPr>
        <w:rPr>
          <w:lang w:eastAsia="ja-JP"/>
        </w:rPr>
      </w:pPr>
      <w:r>
        <w:rPr>
          <w:lang w:eastAsia="ja-JP"/>
        </w:rPr>
        <w:t>Tous les documents remis par le titulaire sont rédigés en langue française.</w:t>
      </w:r>
    </w:p>
    <w:p>
      <w:pPr>
        <w:rPr>
          <w:lang w:eastAsia="ja-JP"/>
        </w:rPr>
      </w:pPr>
      <w:r>
        <w:rPr>
          <w:lang w:eastAsia="ja-JP"/>
        </w:rPr>
        <w:t>Dans le cas où le titulaire ne peut délivrer un document en langue française, il le fournit, à sa charge, accompagné d'une traduction officielle en français.</w:t>
      </w:r>
    </w:p>
    <w:p>
      <w:pPr>
        <w:pStyle w:val="Titre2"/>
      </w:pPr>
      <w:bookmarkStart w:id="128" w:name="_Toc124763452"/>
      <w:bookmarkStart w:id="129" w:name="_Toc171514231"/>
      <w:r>
        <w:t>Groupement</w:t>
      </w:r>
      <w:bookmarkEnd w:id="128"/>
      <w:bookmarkEnd w:id="129"/>
      <w:r>
        <w:t xml:space="preserve"> </w:t>
      </w:r>
    </w:p>
    <w:p>
      <w:pPr>
        <w:rPr>
          <w:lang w:eastAsia="ja-JP"/>
        </w:rPr>
      </w:pPr>
      <w:r>
        <w:rPr>
          <w:lang w:eastAsia="ja-JP"/>
        </w:rPr>
        <w:t>Le mandataire du groupement représente l’ensemble de ses membres vis-à-vis du pouvoir adjudicateur et coordonne les prestations des membres du groupement.</w:t>
      </w:r>
    </w:p>
    <w:p>
      <w:pPr>
        <w:pStyle w:val="Titre2"/>
      </w:pPr>
      <w:bookmarkStart w:id="130" w:name="_Toc124763453"/>
      <w:bookmarkStart w:id="131" w:name="_Toc171514232"/>
      <w:r>
        <w:t>Assurances</w:t>
      </w:r>
      <w:bookmarkEnd w:id="130"/>
      <w:bookmarkEnd w:id="131"/>
    </w:p>
    <w:p>
      <w:pPr>
        <w:rPr>
          <w:lang w:eastAsia="ja-JP"/>
        </w:rPr>
      </w:pPr>
      <w:r>
        <w:rPr>
          <w:lang w:eastAsia="ja-JP"/>
        </w:rPr>
        <w:t xml:space="preserve">Le titulaire assume la responsabilité de l'exécution des prestations et des dommages qu'il peut causer à l’administration. Dans un délai de quinze jours à compter de la notification du marché et avant tout commencement d'exécution, le titulaire devra justifier être en possession d'une police d'assurances. </w:t>
      </w:r>
    </w:p>
    <w:p>
      <w:pPr>
        <w:rPr>
          <w:lang w:eastAsia="ja-JP"/>
        </w:rPr>
      </w:pPr>
      <w:r>
        <w:rPr>
          <w:lang w:eastAsia="ja-JP"/>
        </w:rPr>
        <w:t xml:space="preserve">Il est responsable des dommages que l'exécution des prestations peut engendrer : à son personnel, aux agents de l’administration ou à des tiers ; à ses biens, aux biens appartenant à l’administration ou à des tiers. </w:t>
      </w:r>
    </w:p>
    <w:p>
      <w:pPr>
        <w:rPr>
          <w:lang w:eastAsia="ja-JP"/>
        </w:rPr>
      </w:pPr>
      <w:r>
        <w:rPr>
          <w:lang w:eastAsia="ja-JP"/>
        </w:rPr>
        <w:t xml:space="preserve">Le titulaire doit être couvert par un contrat d'assurance en cours de validité garantissant les conséquences pécuniaires de la responsabilité civile qu'il pourrait encourir en cas de dommages corporels et/ou matériels engendrés lors de l'exécution des prestations. </w:t>
      </w:r>
    </w:p>
    <w:p>
      <w:pPr>
        <w:rPr>
          <w:lang w:eastAsia="ja-JP"/>
        </w:rPr>
      </w:pPr>
      <w:r>
        <w:rPr>
          <w:lang w:eastAsia="ja-JP"/>
        </w:rPr>
        <w:t xml:space="preserve">Il s'engage à remettre à l’administration sur simple demande écrite une attestation de son assureur indiquant la nature, le montant et la durée de la garantie. </w:t>
      </w:r>
    </w:p>
    <w:p>
      <w:pPr>
        <w:rPr>
          <w:lang w:eastAsia="ja-JP"/>
        </w:rPr>
      </w:pPr>
      <w:r>
        <w:rPr>
          <w:lang w:eastAsia="ja-JP"/>
        </w:rPr>
        <w:t>Le titulaire s'engage à informer expressément l’administration de toute modification de son contrat d'assurance.</w:t>
      </w:r>
    </w:p>
    <w:p>
      <w:pPr>
        <w:rPr>
          <w:lang w:eastAsia="ja-JP"/>
        </w:rPr>
      </w:pPr>
      <w:r>
        <w:rPr>
          <w:lang w:eastAsia="ja-JP"/>
        </w:rPr>
        <w:t xml:space="preserve">Les sous-traitants doivent fournir les mêmes documents que le titulaire. </w:t>
      </w:r>
    </w:p>
    <w:p>
      <w:pPr>
        <w:pStyle w:val="Titre2"/>
      </w:pPr>
      <w:bookmarkStart w:id="132" w:name="_Toc124763454"/>
      <w:bookmarkStart w:id="133" w:name="_Toc171514233"/>
      <w:r>
        <w:t>Autres obligations administratives</w:t>
      </w:r>
      <w:bookmarkEnd w:id="132"/>
      <w:bookmarkEnd w:id="133"/>
    </w:p>
    <w:p>
      <w:pPr>
        <w:rPr>
          <w:lang w:eastAsia="ja-JP"/>
        </w:rPr>
      </w:pPr>
      <w:r>
        <w:rPr>
          <w:lang w:eastAsia="ja-JP"/>
        </w:rPr>
        <w:t>Le titulaire (dont tous les membres du groupement le cas échéant) est tenu de notifier sans délai à l’acheteur les modifications survenant en cours d'exécution et notamment celles qui se rapportent :</w:t>
      </w:r>
    </w:p>
    <w:p>
      <w:pPr>
        <w:pStyle w:val="Paragraphedeliste"/>
        <w:numPr>
          <w:ilvl w:val="0"/>
          <w:numId w:val="5"/>
        </w:numPr>
        <w:rPr>
          <w:lang w:eastAsia="ja-JP"/>
        </w:rPr>
      </w:pPr>
      <w:proofErr w:type="gramStart"/>
      <w:r>
        <w:rPr>
          <w:lang w:eastAsia="ja-JP"/>
        </w:rPr>
        <w:t>aux</w:t>
      </w:r>
      <w:proofErr w:type="gramEnd"/>
      <w:r>
        <w:rPr>
          <w:lang w:eastAsia="ja-JP"/>
        </w:rPr>
        <w:t xml:space="preserve"> personnes ayant le pouvoir de l'engager ;</w:t>
      </w:r>
    </w:p>
    <w:p>
      <w:pPr>
        <w:pStyle w:val="Paragraphedeliste"/>
        <w:numPr>
          <w:ilvl w:val="0"/>
          <w:numId w:val="5"/>
        </w:numPr>
        <w:rPr>
          <w:lang w:eastAsia="ja-JP"/>
        </w:rPr>
      </w:pPr>
      <w:proofErr w:type="gramStart"/>
      <w:r>
        <w:rPr>
          <w:lang w:eastAsia="ja-JP"/>
        </w:rPr>
        <w:t>à</w:t>
      </w:r>
      <w:proofErr w:type="gramEnd"/>
      <w:r>
        <w:rPr>
          <w:lang w:eastAsia="ja-JP"/>
        </w:rPr>
        <w:t xml:space="preserve"> la forme juridique sous laquelle il exerce son activité ;</w:t>
      </w:r>
    </w:p>
    <w:p>
      <w:pPr>
        <w:pStyle w:val="Paragraphedeliste"/>
        <w:numPr>
          <w:ilvl w:val="0"/>
          <w:numId w:val="5"/>
        </w:numPr>
        <w:rPr>
          <w:lang w:eastAsia="ja-JP"/>
        </w:rPr>
      </w:pPr>
      <w:proofErr w:type="gramStart"/>
      <w:r>
        <w:rPr>
          <w:lang w:eastAsia="ja-JP"/>
        </w:rPr>
        <w:t>à</w:t>
      </w:r>
      <w:proofErr w:type="gramEnd"/>
      <w:r>
        <w:rPr>
          <w:lang w:eastAsia="ja-JP"/>
        </w:rPr>
        <w:t xml:space="preserve"> sa raison sociale ou à sa dénomination ;</w:t>
      </w:r>
    </w:p>
    <w:p>
      <w:pPr>
        <w:pStyle w:val="Paragraphedeliste"/>
        <w:numPr>
          <w:ilvl w:val="0"/>
          <w:numId w:val="5"/>
        </w:numPr>
        <w:rPr>
          <w:lang w:eastAsia="ja-JP"/>
        </w:rPr>
      </w:pPr>
      <w:proofErr w:type="gramStart"/>
      <w:r>
        <w:rPr>
          <w:lang w:eastAsia="ja-JP"/>
        </w:rPr>
        <w:t>à</w:t>
      </w:r>
      <w:proofErr w:type="gramEnd"/>
      <w:r>
        <w:rPr>
          <w:lang w:eastAsia="ja-JP"/>
        </w:rPr>
        <w:t xml:space="preserve"> son adresse ou à son siège social ;</w:t>
      </w:r>
    </w:p>
    <w:p>
      <w:pPr>
        <w:pStyle w:val="Paragraphedeliste"/>
        <w:numPr>
          <w:ilvl w:val="0"/>
          <w:numId w:val="5"/>
        </w:numPr>
        <w:rPr>
          <w:lang w:eastAsia="ja-JP"/>
        </w:rPr>
      </w:pPr>
      <w:proofErr w:type="gramStart"/>
      <w:r>
        <w:rPr>
          <w:lang w:eastAsia="ja-JP"/>
        </w:rPr>
        <w:t>aux</w:t>
      </w:r>
      <w:proofErr w:type="gramEnd"/>
      <w:r>
        <w:rPr>
          <w:lang w:eastAsia="ja-JP"/>
        </w:rPr>
        <w:t xml:space="preserve"> renseignements qu'il a fournis pour l'acceptation d'un sous-traitant et l'agrément de ses conditions de paiement ;</w:t>
      </w:r>
    </w:p>
    <w:p>
      <w:pPr>
        <w:rPr>
          <w:lang w:eastAsia="ja-JP"/>
        </w:rPr>
      </w:pPr>
      <w:r>
        <w:rPr>
          <w:lang w:eastAsia="ja-JP"/>
        </w:rPr>
        <w:t>De façon générale, toutes les modifications importantes de fonctionnement concernant le titulaire, le(s) cotraitant(s) et le(s) sous-traitant(s) et pouvant influer sur le déroulement du marché doivent être notifiés à l’administration.</w:t>
      </w:r>
    </w:p>
    <w:p>
      <w:pPr>
        <w:rPr>
          <w:lang w:eastAsia="ja-JP"/>
        </w:rPr>
      </w:pPr>
      <w:r>
        <w:rPr>
          <w:lang w:eastAsia="ja-JP"/>
        </w:rPr>
        <w:t>En cas de manquement, l’administration ne saurait être tenue pour responsable des conséquences pouvant en découler, et notamment des retards de paiement.</w:t>
      </w:r>
    </w:p>
    <w:p>
      <w:pPr>
        <w:rPr>
          <w:lang w:eastAsia="ja-JP"/>
        </w:rPr>
      </w:pPr>
      <w:r>
        <w:rPr>
          <w:lang w:eastAsia="ja-JP"/>
        </w:rPr>
        <w:t>Le titulaire met à disposition tous les six mois, à partir de la notification, jusqu'à la fin de l'exécution, les pièces prévues aux articles D.8222-5 ou D.8222-7 ou D.8254-2 à D.8254-5 du code du travail.</w:t>
      </w:r>
    </w:p>
    <w:p>
      <w:pPr>
        <w:rPr>
          <w:lang w:eastAsia="ja-JP"/>
        </w:rPr>
      </w:pPr>
      <w:r>
        <w:rPr>
          <w:lang w:eastAsia="ja-JP"/>
        </w:rPr>
        <w:t xml:space="preserve">Ces documents sont transmis par le titulaire à l’adresse </w:t>
      </w:r>
      <w:r>
        <w:rPr>
          <w:highlight w:val="yellow"/>
          <w:lang w:eastAsia="ja-JP"/>
        </w:rPr>
        <w:t>[A indiquer]</w:t>
      </w:r>
    </w:p>
    <w:p>
      <w:pPr>
        <w:rPr>
          <w:lang w:eastAsia="ja-JP"/>
        </w:rPr>
      </w:pPr>
      <w:r>
        <w:rPr>
          <w:lang w:eastAsia="ja-JP"/>
        </w:rPr>
        <w:t>Si le titulaire, et/ou le cas échéant ses sous-traitants, recourent à des salariés détachés, ils doivent produire avant le début de chaque détachement d'un ou de plusieurs salariés les documents suivants :</w:t>
      </w:r>
    </w:p>
    <w:p>
      <w:pPr>
        <w:pStyle w:val="Paragraphedeliste"/>
        <w:numPr>
          <w:ilvl w:val="0"/>
          <w:numId w:val="6"/>
        </w:numPr>
        <w:rPr>
          <w:lang w:eastAsia="ja-JP"/>
        </w:rPr>
      </w:pPr>
      <w:r>
        <w:rPr>
          <w:lang w:eastAsia="ja-JP"/>
        </w:rPr>
        <w:t xml:space="preserve">L'accusé de réception de la déclaration de détachement effectuée sur le </w:t>
      </w:r>
      <w:proofErr w:type="spellStart"/>
      <w:r>
        <w:rPr>
          <w:lang w:eastAsia="ja-JP"/>
        </w:rPr>
        <w:t>télé-service</w:t>
      </w:r>
      <w:proofErr w:type="spellEnd"/>
      <w:r>
        <w:rPr>
          <w:lang w:eastAsia="ja-JP"/>
        </w:rPr>
        <w:t xml:space="preserve"> " SIPSI " du ministère chargé du travail, conformément aux articles R. 1263-5 et R. 1263-7 du code du travail ;</w:t>
      </w:r>
    </w:p>
    <w:p>
      <w:pPr>
        <w:pStyle w:val="Paragraphedeliste"/>
        <w:numPr>
          <w:ilvl w:val="0"/>
          <w:numId w:val="6"/>
        </w:numPr>
        <w:rPr>
          <w:lang w:eastAsia="ja-JP"/>
        </w:rPr>
      </w:pPr>
      <w:r>
        <w:rPr>
          <w:lang w:eastAsia="ja-JP"/>
        </w:rPr>
        <w:t xml:space="preserve">Une attestation sur l'honneur certifiant que le cocontractant s'est, le cas échéant, acquitté du paiement des sommes dues au titre des amendes prévues aux articles L. 1263-6, L. 1264-1, L. 1264-2 et L. 8115-1 du code du travail. </w:t>
      </w:r>
    </w:p>
    <w:p>
      <w:pPr>
        <w:rPr>
          <w:lang w:eastAsia="ja-JP"/>
        </w:rPr>
      </w:pPr>
      <w:r>
        <w:rPr>
          <w:lang w:eastAsia="ja-JP"/>
        </w:rPr>
        <w:t>Cette attestation comporte le nom, prénom, raison sociale du cocontractant et la signature de son représentant légal.</w:t>
      </w:r>
    </w:p>
    <w:p>
      <w:pPr>
        <w:rPr>
          <w:lang w:eastAsia="ja-JP"/>
        </w:rPr>
      </w:pPr>
      <w:r>
        <w:rPr>
          <w:lang w:eastAsia="ja-JP"/>
        </w:rPr>
        <w:t>Enfin, dans les conditions fixées à l'article L.2196-4 et suivants du code de la commande publique, le titulaire fournit, si l’administration en fait la demande, les renseignements sur les éléments techniques et comptables du coût de revient des prestations qui font l'objet du présent marché (notamment bilans, comptes de résultat ainsi que leur comptabilité analytique et tout document de nature à permettre l'établissement des coûts de revient).</w:t>
      </w:r>
    </w:p>
    <w:p>
      <w:pPr>
        <w:pStyle w:val="Titre2"/>
      </w:pPr>
      <w:bookmarkStart w:id="134" w:name="_Toc124763455"/>
      <w:bookmarkStart w:id="135" w:name="_Toc171514234"/>
      <w:r>
        <w:t>Résiliation</w:t>
      </w:r>
      <w:bookmarkEnd w:id="134"/>
      <w:bookmarkEnd w:id="135"/>
    </w:p>
    <w:p>
      <w:pPr>
        <w:rPr>
          <w:lang w:eastAsia="ja-JP"/>
        </w:rPr>
      </w:pPr>
      <w:r>
        <w:rPr>
          <w:lang w:eastAsia="ja-JP"/>
        </w:rPr>
        <w:t>L’acheteur peut résilier un marché dans les cas prévus aux articles L.2195-1 à L.2195-6 du code de la commande publique.</w:t>
      </w:r>
    </w:p>
    <w:p>
      <w:pPr>
        <w:rPr>
          <w:lang w:eastAsia="ja-JP"/>
        </w:rPr>
      </w:pPr>
      <w:r>
        <w:rPr>
          <w:lang w:eastAsia="ja-JP"/>
        </w:rPr>
        <w:t>Le marché peut être résilié conformément aux dispositions du CCAG de référence (résiliation pour événements extérieurs ou liés au marché public, pour faute du titulaire ou pour motif d'intérêt général).</w:t>
      </w:r>
    </w:p>
    <w:p>
      <w:pPr>
        <w:rPr>
          <w:lang w:eastAsia="ja-JP"/>
        </w:rPr>
      </w:pPr>
      <w:r>
        <w:rPr>
          <w:lang w:eastAsia="ja-JP"/>
        </w:rPr>
        <w:t>En cas de résiliation pour motif d'intérêt général, le titulaire a droit à une indemnité de résiliation égale à 5% du montant estimatif initial hors taxes du marché divisé par le nombre de titulaires du lot et diminué du montant hors taxes non révisé des prestations admises pour le titulaire concerné.</w:t>
      </w:r>
    </w:p>
    <w:p>
      <w:pPr>
        <w:rPr>
          <w:lang w:eastAsia="ja-JP"/>
        </w:rPr>
      </w:pPr>
      <w:r>
        <w:rPr>
          <w:lang w:eastAsia="ja-JP"/>
        </w:rPr>
        <w:t>Au-delà des cas prévus au CCAG-PI, le marché peut être résilié dans les cas suivants :</w:t>
      </w:r>
    </w:p>
    <w:p>
      <w:pPr>
        <w:pStyle w:val="Paragraphedeliste"/>
        <w:numPr>
          <w:ilvl w:val="0"/>
          <w:numId w:val="7"/>
        </w:numPr>
        <w:rPr>
          <w:lang w:eastAsia="ja-JP"/>
        </w:rPr>
      </w:pPr>
      <w:r>
        <w:rPr>
          <w:lang w:eastAsia="ja-JP"/>
        </w:rPr>
        <w:t>En cas d'inexactitude des documents et des renseignements prévus, ou de refus de produire les pièces prévues aux articles D8222-5 ou D8222-7 et D8222-8 du code du travail, le marché sera résilié, après mise en demeure restée infructueuse, aux torts du titulaire selon les dispositions du CCAG de référence.</w:t>
      </w:r>
    </w:p>
    <w:p>
      <w:pPr>
        <w:pStyle w:val="Paragraphedeliste"/>
        <w:numPr>
          <w:ilvl w:val="0"/>
          <w:numId w:val="7"/>
        </w:numPr>
        <w:rPr>
          <w:lang w:eastAsia="ja-JP"/>
        </w:rPr>
      </w:pPr>
      <w:r>
        <w:rPr>
          <w:lang w:eastAsia="ja-JP"/>
        </w:rPr>
        <w:t>Pour inexactitude des renseignements communiqués. L'inexactitude des renseignements communiqués à l'appui des candidatures peut entraîner la résiliation du marché aux torts exclusifs du titulaire, sans indemnités.</w:t>
      </w:r>
    </w:p>
    <w:p>
      <w:pPr>
        <w:pStyle w:val="Paragraphedeliste"/>
        <w:numPr>
          <w:ilvl w:val="0"/>
          <w:numId w:val="7"/>
        </w:numPr>
        <w:rPr>
          <w:lang w:eastAsia="ja-JP"/>
        </w:rPr>
      </w:pPr>
      <w:r>
        <w:rPr>
          <w:lang w:eastAsia="ja-JP"/>
        </w:rPr>
        <w:t>Pour manquement grave aux obligations déontologiques.</w:t>
      </w:r>
    </w:p>
    <w:p>
      <w:pPr>
        <w:pStyle w:val="Paragraphedeliste"/>
        <w:numPr>
          <w:ilvl w:val="0"/>
          <w:numId w:val="7"/>
        </w:numPr>
        <w:rPr>
          <w:lang w:eastAsia="ja-JP"/>
        </w:rPr>
      </w:pPr>
      <w:r>
        <w:rPr>
          <w:lang w:eastAsia="ja-JP"/>
        </w:rPr>
        <w:t>En cas de retrait ou suspension de l’habilitation accordée par la commission nationale du label Services Publics +.</w:t>
      </w:r>
    </w:p>
    <w:p>
      <w:pPr>
        <w:rPr>
          <w:lang w:eastAsia="ja-JP"/>
        </w:rPr>
      </w:pPr>
      <w:r>
        <w:rPr>
          <w:lang w:eastAsia="ja-JP"/>
        </w:rPr>
        <w:t>La résiliation du marché n'entraîne pas la résiliation des bons de commande en cours d'exécution.</w:t>
      </w:r>
    </w:p>
    <w:p>
      <w:pPr>
        <w:pStyle w:val="Titre2"/>
      </w:pPr>
      <w:bookmarkStart w:id="136" w:name="_Toc124763456"/>
      <w:bookmarkStart w:id="137" w:name="_Toc171514235"/>
      <w:r>
        <w:t>Différends</w:t>
      </w:r>
      <w:bookmarkEnd w:id="136"/>
      <w:bookmarkEnd w:id="137"/>
    </w:p>
    <w:p>
      <w:pPr>
        <w:rPr>
          <w:lang w:eastAsia="ja-JP"/>
        </w:rPr>
      </w:pPr>
      <w:r>
        <w:rPr>
          <w:lang w:eastAsia="ja-JP"/>
        </w:rPr>
        <w:t>L’administration et le titulaire s'efforcent de régler à l'amiable tout différend éventuel relatif à l'interprétation des stipulations du présent marché ou à l'exécution des prestations.</w:t>
      </w:r>
    </w:p>
    <w:p>
      <w:pPr>
        <w:rPr>
          <w:lang w:eastAsia="ja-JP"/>
        </w:rPr>
      </w:pPr>
      <w:r>
        <w:rPr>
          <w:lang w:eastAsia="ja-JP"/>
        </w:rPr>
        <w:t>En cas de différend, l’administration et le titulaire peuvent recourir au comité consultatif de règlement amiable compétent ou au médiateur des entreprises des différends relatifs aux marchés publics conformément aux dispositions des articles R.2197-1 à R.2197-24 du code de la commande publique.</w:t>
      </w:r>
    </w:p>
    <w:p>
      <w:pPr>
        <w:pStyle w:val="Titre2"/>
      </w:pPr>
      <w:bookmarkStart w:id="138" w:name="_Toc124763457"/>
      <w:bookmarkStart w:id="139" w:name="_Toc171514236"/>
      <w:r>
        <w:t>Litiges et contentieux</w:t>
      </w:r>
      <w:bookmarkEnd w:id="138"/>
      <w:bookmarkEnd w:id="139"/>
    </w:p>
    <w:p>
      <w:pPr>
        <w:rPr>
          <w:lang w:eastAsia="ja-JP"/>
        </w:rPr>
      </w:pPr>
      <w:r>
        <w:rPr>
          <w:lang w:eastAsia="ja-JP"/>
        </w:rPr>
        <w:t>Le présent marché est soumis au droit français.</w:t>
      </w:r>
    </w:p>
    <w:p>
      <w:pPr>
        <w:rPr>
          <w:lang w:eastAsia="ja-JP"/>
        </w:rPr>
      </w:pPr>
      <w:r>
        <w:rPr>
          <w:lang w:eastAsia="ja-JP"/>
        </w:rPr>
        <w:t>Tout litige est soumis au tribunal administratif de Paris pour les aspects concernant les modalités d'exécution et au tribunal de grande instance de Paris pour les questions relatives à la propriété intellectuelle.</w:t>
      </w:r>
    </w:p>
    <w:p>
      <w:pPr>
        <w:pStyle w:val="Titre1"/>
      </w:pPr>
      <w:bookmarkStart w:id="140" w:name="_Toc124763458"/>
      <w:bookmarkStart w:id="141" w:name="_Toc171514237"/>
      <w:r>
        <w:t>DISPOSITIONS APPLICABLES EN CAS DE MENACE SANITAIRE GRAVE APPELANT DES MESURES D'URGENCE</w:t>
      </w:r>
      <w:bookmarkEnd w:id="140"/>
      <w:bookmarkEnd w:id="141"/>
    </w:p>
    <w:p>
      <w:pPr>
        <w:rPr>
          <w:lang w:eastAsia="ja-JP"/>
        </w:rPr>
      </w:pPr>
      <w:r>
        <w:rPr>
          <w:lang w:eastAsia="ja-JP"/>
        </w:rP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par l’administration ou que cette situation, bien que connue des parties, donne lieu à des mesures d'urgences nouvelles inconnues des parties au moment de la signature du marché par l’administration et ayant un impact direct sur l'exécution du contrat. Ces situations sont constitutives d'un « évènement perturbateur » au sens du présent article.</w:t>
      </w:r>
    </w:p>
    <w:p>
      <w:pPr>
        <w:rPr>
          <w:lang w:eastAsia="ja-JP"/>
        </w:rPr>
      </w:pPr>
      <w:r>
        <w:rPr>
          <w:lang w:eastAsia="ja-JP"/>
        </w:rPr>
        <w:t xml:space="preserve">L'évènement perturbateur fait obstacle à l'application de sanction, de pénalités contractuelles à l'égard du titulaire comme à la mise en œuvre de la responsabilité contractuelle des parties à raison de retards ou d'inexécution des obligations qui leur incombe, dès lors qu'est établi un lien de causalité entre l'évènement perturbateur et le retard ou l'inexécution. </w:t>
      </w:r>
    </w:p>
    <w:p>
      <w:pPr>
        <w:pStyle w:val="Titre2"/>
      </w:pPr>
      <w:bookmarkStart w:id="142" w:name="_Toc124763459"/>
      <w:bookmarkStart w:id="143" w:name="_Toc171514238"/>
      <w:r>
        <w:t>Suspension de l'exécution des prestations à la demande du titulaire</w:t>
      </w:r>
      <w:bookmarkEnd w:id="142"/>
      <w:bookmarkEnd w:id="143"/>
    </w:p>
    <w:p>
      <w:pPr>
        <w:rPr>
          <w:lang w:eastAsia="ja-JP"/>
        </w:rPr>
      </w:pPr>
      <w:r>
        <w:rPr>
          <w:lang w:eastAsia="ja-JP"/>
        </w:rP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pPr>
        <w:rPr>
          <w:lang w:eastAsia="ja-JP"/>
        </w:rPr>
      </w:pPr>
      <w:r>
        <w:rPr>
          <w:lang w:eastAsia="ja-JP"/>
        </w:rPr>
        <w:t>La décision de suspendre l'exécution des prestations à la demande du titulaire fait l'objet d'un écrit émanant de l’administration et est transmise par tout moyen matériel ou dématérialisé permettant de déterminer de façon certaine la date et l'heure de sa réception.</w:t>
      </w:r>
    </w:p>
    <w:p>
      <w:pPr>
        <w:rPr>
          <w:lang w:eastAsia="ja-JP"/>
        </w:rPr>
      </w:pPr>
      <w:r>
        <w:rPr>
          <w:lang w:eastAsia="ja-JP"/>
        </w:rPr>
        <w:t>Dans sa décision, l’administration précise l'impact éventuel de la suspension sur la durée du marché. Toute modification de la durée du marché ne peut résulter que d'un avenant.</w:t>
      </w:r>
    </w:p>
    <w:p>
      <w:pPr>
        <w:rPr>
          <w:lang w:eastAsia="ja-JP"/>
        </w:rPr>
      </w:pPr>
      <w:r>
        <w:rPr>
          <w:lang w:eastAsia="ja-JP"/>
        </w:rPr>
        <w:t>En cas de suspension du marché à la demande du titulaire, l’administration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l’administration. L'exécution du marché de substitution n'est pas effectuée aux frais et risques du titulaire.</w:t>
      </w:r>
    </w:p>
    <w:p>
      <w:pPr>
        <w:rPr>
          <w:lang w:eastAsia="ja-JP"/>
        </w:rPr>
      </w:pPr>
      <w:r>
        <w:rPr>
          <w:lang w:eastAsia="ja-JP"/>
        </w:rP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pPr>
        <w:rPr>
          <w:lang w:eastAsia="ja-JP"/>
        </w:rPr>
      </w:pPr>
      <w:r>
        <w:rPr>
          <w:lang w:eastAsia="ja-JP"/>
        </w:rPr>
        <w:t xml:space="preserve">A ce titre, toute justification permettant à l’administration d'apprécier le bien-fondé des difficultés rencontrées ou à venir ainsi que leur lien de causalité avec l'évènement perturbateur doit être fournie par le titulaire. </w:t>
      </w:r>
    </w:p>
    <w:p>
      <w:pPr>
        <w:rPr>
          <w:lang w:eastAsia="ja-JP"/>
        </w:rPr>
      </w:pPr>
      <w:r>
        <w:rPr>
          <w:lang w:eastAsia="ja-JP"/>
        </w:rPr>
        <w:t>La suspension de l'exécution des prestations à l'initiative du titulaire n'ouvre droit à aucune indemnité au bénéfice de ce dernier.</w:t>
      </w:r>
    </w:p>
    <w:p>
      <w:pPr>
        <w:pStyle w:val="Titre2"/>
      </w:pPr>
      <w:bookmarkStart w:id="144" w:name="_Toc124763460"/>
      <w:bookmarkStart w:id="145" w:name="_Toc171514239"/>
      <w:r>
        <w:t>Suspension à l'initiative de l’administration</w:t>
      </w:r>
      <w:bookmarkEnd w:id="144"/>
      <w:bookmarkEnd w:id="145"/>
    </w:p>
    <w:p>
      <w:pPr>
        <w:rPr>
          <w:lang w:eastAsia="ja-JP"/>
        </w:rPr>
      </w:pPr>
      <w:r>
        <w:rPr>
          <w:lang w:eastAsia="ja-JP"/>
        </w:rPr>
        <w:t>Si l’administration décide de suspendre l'exécution de tout ou partie des prestations, elle en informe le titulaire par écrit, dans les meilleurs délais et par tout moyen matériel ou dématérialisé permettant de déterminer de façon certaine la date et l'heure de sa réception.</w:t>
      </w:r>
    </w:p>
    <w:p>
      <w:pPr>
        <w:rPr>
          <w:lang w:eastAsia="ja-JP"/>
        </w:rPr>
      </w:pPr>
      <w:r>
        <w:rPr>
          <w:lang w:eastAsia="ja-JP"/>
        </w:rPr>
        <w:t>Dans sa décision, l’administration précise l'impact éventuel de la suspension sur la durée du marché. Toute modification de la durée du marché ne peut résulter que d'un avenant.</w:t>
      </w:r>
    </w:p>
    <w:p>
      <w:pPr>
        <w:rPr>
          <w:lang w:eastAsia="ja-JP"/>
        </w:rPr>
      </w:pPr>
      <w:r>
        <w:rPr>
          <w:lang w:eastAsia="ja-JP"/>
        </w:rPr>
        <w:t>En cas de suspension de tout ou partie des prestations, les parties procèdent à l'établissement d'un constat contradictoire des prestations réalisées jusqu'à la suspension, sauf lorsque celui-ci s'avère manifestement inutile.</w:t>
      </w:r>
    </w:p>
    <w:p>
      <w:pPr>
        <w:rPr>
          <w:lang w:eastAsia="ja-JP"/>
        </w:rPr>
      </w:pPr>
      <w:r>
        <w:rPr>
          <w:lang w:eastAsia="ja-JP"/>
        </w:rPr>
        <w:t>L’administration ne peut voir sa responsabilité contractuelle engagée dès lors qu'est établi un lien de causalité entre l'évènement perturbateur et la décision de suspension.</w:t>
      </w:r>
    </w:p>
    <w:p>
      <w:pPr>
        <w:rPr>
          <w:lang w:eastAsia="ja-JP"/>
        </w:rPr>
      </w:pPr>
      <w:r>
        <w:rPr>
          <w:lang w:eastAsia="ja-JP"/>
        </w:rPr>
        <w:t>Le titulaire, quant à lui, ne peut être sanctionné, se voir appliquer de pénalités contractuelles, ni voir sa responsabilité contractuelle engagée du fait de cette suspension.</w:t>
      </w:r>
    </w:p>
    <w:p>
      <w:pPr>
        <w:rPr>
          <w:lang w:eastAsia="ja-JP"/>
        </w:rPr>
      </w:pPr>
      <w:r>
        <w:rPr>
          <w:lang w:eastAsia="ja-JP"/>
        </w:rPr>
        <w:t>Celle-ci donne lieu à indemnisation du titulaire s'il démontre l'existence d'un lien direct entre le préjudice subi et la suspension des prestations.</w:t>
      </w:r>
    </w:p>
    <w:p>
      <w:pPr>
        <w:rPr>
          <w:lang w:eastAsia="ja-JP"/>
        </w:rPr>
      </w:pPr>
      <w:r>
        <w:rPr>
          <w:lang w:eastAsia="ja-JP"/>
        </w:rPr>
        <w:t xml:space="preserve">Pour ce faire, il adresse à l’administration un mémoire en réclamation, conformément aux dispositions de l'article du CCAG de </w:t>
      </w:r>
      <w:proofErr w:type="gramStart"/>
      <w:r>
        <w:rPr>
          <w:lang w:eastAsia="ja-JP"/>
        </w:rPr>
        <w:t>référence relatif</w:t>
      </w:r>
      <w:proofErr w:type="gramEnd"/>
      <w:r>
        <w:rPr>
          <w:lang w:eastAsia="ja-JP"/>
        </w:rPr>
        <w:t xml:space="preserve"> aux différends entre les parties. Ce mémoire justifie :</w:t>
      </w:r>
    </w:p>
    <w:p>
      <w:pPr>
        <w:pStyle w:val="Paragraphedeliste"/>
        <w:numPr>
          <w:ilvl w:val="0"/>
          <w:numId w:val="7"/>
        </w:numPr>
        <w:rPr>
          <w:lang w:eastAsia="ja-JP"/>
        </w:rPr>
      </w:pPr>
      <w:proofErr w:type="gramStart"/>
      <w:r>
        <w:rPr>
          <w:lang w:eastAsia="ja-JP"/>
        </w:rPr>
        <w:t>les</w:t>
      </w:r>
      <w:proofErr w:type="gramEnd"/>
      <w:r>
        <w:rPr>
          <w:lang w:eastAsia="ja-JP"/>
        </w:rPr>
        <w:t xml:space="preserve"> coûts d'arrêt des prestations objet du marché ;</w:t>
      </w:r>
    </w:p>
    <w:p>
      <w:pPr>
        <w:pStyle w:val="Paragraphedeliste"/>
        <w:numPr>
          <w:ilvl w:val="0"/>
          <w:numId w:val="7"/>
        </w:numPr>
        <w:rPr>
          <w:lang w:eastAsia="ja-JP"/>
        </w:rPr>
      </w:pPr>
      <w:proofErr w:type="gramStart"/>
      <w:r>
        <w:rPr>
          <w:lang w:eastAsia="ja-JP"/>
        </w:rPr>
        <w:t>les</w:t>
      </w:r>
      <w:proofErr w:type="gramEnd"/>
      <w:r>
        <w:rPr>
          <w:lang w:eastAsia="ja-JP"/>
        </w:rPr>
        <w:t xml:space="preserve"> coûts de remise en état à l'issue de la suspension en vue de la reprise d'exécution ;</w:t>
      </w:r>
    </w:p>
    <w:p>
      <w:pPr>
        <w:pStyle w:val="Paragraphedeliste"/>
        <w:numPr>
          <w:ilvl w:val="0"/>
          <w:numId w:val="7"/>
        </w:numPr>
        <w:rPr>
          <w:lang w:eastAsia="ja-JP"/>
        </w:rPr>
      </w:pPr>
      <w:proofErr w:type="gramStart"/>
      <w:r>
        <w:rPr>
          <w:lang w:eastAsia="ja-JP"/>
        </w:rPr>
        <w:t>la</w:t>
      </w:r>
      <w:proofErr w:type="gramEnd"/>
      <w:r>
        <w:rPr>
          <w:lang w:eastAsia="ja-JP"/>
        </w:rPr>
        <w:t xml:space="preserve"> part des charges d'exploitation directement liées à l'exécution du marché et qui ont continué d'être supportées par le titulaire pendant la période de suspension.</w:t>
      </w:r>
    </w:p>
    <w:p>
      <w:pPr>
        <w:pStyle w:val="Titre2"/>
      </w:pPr>
      <w:bookmarkStart w:id="146" w:name="_Toc124763461"/>
      <w:bookmarkStart w:id="147" w:name="_Toc171514240"/>
      <w:r>
        <w:t>Prolongation du délai d'exécution des prestations</w:t>
      </w:r>
      <w:bookmarkEnd w:id="146"/>
      <w:bookmarkEnd w:id="147"/>
    </w:p>
    <w:p>
      <w:pPr>
        <w:rPr>
          <w:lang w:eastAsia="ja-JP"/>
        </w:rPr>
      </w:pPr>
      <w:r>
        <w:rPr>
          <w:lang w:eastAsia="ja-JP"/>
        </w:rPr>
        <w:t>L’administration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pPr>
        <w:rPr>
          <w:lang w:eastAsia="ja-JP"/>
        </w:rPr>
      </w:pPr>
      <w:r>
        <w:rPr>
          <w:lang w:eastAsia="ja-JP"/>
        </w:rPr>
        <w:t>La demande de prolongation intervient avant l'expiration du délai contractuel et de la période associée à l'évènement perturbateur. Elle s'effectue dans les conditions fixées par le CCAG de référence.</w:t>
      </w:r>
    </w:p>
    <w:p>
      <w:pPr>
        <w:rPr>
          <w:lang w:eastAsia="ja-JP"/>
        </w:rPr>
      </w:pPr>
      <w:r>
        <w:rPr>
          <w:lang w:eastAsia="ja-JP"/>
        </w:rPr>
        <w:t>La prolongation du délai d'exécution peut être à l'initiative de l’administration qui en informe le titulaire par écrit, dans les meilleurs délais et par tout moyen matériel ou dématérialisé permettant de déterminer de façon certaine la date et l'heure de sa réception.</w:t>
      </w:r>
    </w:p>
    <w:p>
      <w:pPr>
        <w:rPr>
          <w:lang w:eastAsia="ja-JP"/>
        </w:rPr>
      </w:pPr>
      <w:r>
        <w:rPr>
          <w:lang w:eastAsia="ja-JP"/>
        </w:rP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pPr>
        <w:pStyle w:val="Titre2"/>
      </w:pPr>
      <w:bookmarkStart w:id="148" w:name="_Toc124763462"/>
      <w:bookmarkStart w:id="149" w:name="_Toc171514241"/>
      <w:r>
        <w:t>Indemnisation suite à l'annulation d'un bon de commande</w:t>
      </w:r>
      <w:bookmarkEnd w:id="148"/>
      <w:bookmarkEnd w:id="149"/>
    </w:p>
    <w:p>
      <w:pPr>
        <w:rPr>
          <w:lang w:eastAsia="ja-JP"/>
        </w:rPr>
      </w:pPr>
      <w:r>
        <w:rPr>
          <w:lang w:eastAsia="ja-JP"/>
        </w:rPr>
        <w:t>L'annulation d'un bon de commande, par l’administration à la suite d'un évènement perturbateur ouvre droit à une indemnisation du titulaire des dépenses spécifiquement engagées pour l'exécution des prestations annulées.</w:t>
      </w:r>
    </w:p>
    <w:p>
      <w:pPr>
        <w:rPr>
          <w:lang w:eastAsia="ja-JP"/>
        </w:rPr>
      </w:pPr>
      <w:r>
        <w:rPr>
          <w:lang w:eastAsia="ja-JP"/>
        </w:rPr>
        <w:t xml:space="preserve">Le titulaire adresse à l’administration un mémoire en réclamation, conformément aux dispositions de l'article du CCAG de </w:t>
      </w:r>
      <w:proofErr w:type="gramStart"/>
      <w:r>
        <w:rPr>
          <w:lang w:eastAsia="ja-JP"/>
        </w:rPr>
        <w:t>référence relatif</w:t>
      </w:r>
      <w:proofErr w:type="gramEnd"/>
      <w:r>
        <w:rPr>
          <w:lang w:eastAsia="ja-JP"/>
        </w:rPr>
        <w:t xml:space="preserve"> aux différends entre les parties. Ce mémoire justifie :</w:t>
      </w:r>
    </w:p>
    <w:p>
      <w:pPr>
        <w:pStyle w:val="Paragraphedeliste"/>
        <w:numPr>
          <w:ilvl w:val="0"/>
          <w:numId w:val="7"/>
        </w:numPr>
        <w:rPr>
          <w:lang w:eastAsia="ja-JP"/>
        </w:rPr>
      </w:pPr>
      <w:proofErr w:type="gramStart"/>
      <w:r>
        <w:rPr>
          <w:lang w:eastAsia="ja-JP"/>
        </w:rPr>
        <w:t>de</w:t>
      </w:r>
      <w:proofErr w:type="gramEnd"/>
      <w:r>
        <w:rPr>
          <w:lang w:eastAsia="ja-JP"/>
        </w:rPr>
        <w:t xml:space="preserve"> l'existence du préjudice subi (réalité des charges pesant sur le titulaire et évaluation du montant demandé) ;</w:t>
      </w:r>
    </w:p>
    <w:p>
      <w:pPr>
        <w:pStyle w:val="Paragraphedeliste"/>
        <w:numPr>
          <w:ilvl w:val="0"/>
          <w:numId w:val="7"/>
        </w:numPr>
        <w:rPr>
          <w:lang w:eastAsia="ja-JP"/>
        </w:rPr>
      </w:pPr>
      <w:proofErr w:type="gramStart"/>
      <w:r>
        <w:rPr>
          <w:lang w:eastAsia="ja-JP"/>
        </w:rPr>
        <w:t>de</w:t>
      </w:r>
      <w:proofErr w:type="gramEnd"/>
      <w:r>
        <w:rPr>
          <w:lang w:eastAsia="ja-JP"/>
        </w:rPr>
        <w:t xml:space="preserve"> l'existence d'un lien de causalité entre l'évènement perturbateur et ledit préjudice.</w:t>
      </w:r>
    </w:p>
    <w:p>
      <w:pPr>
        <w:rPr>
          <w:lang w:eastAsia="ja-JP"/>
        </w:rPr>
      </w:pPr>
      <w:r>
        <w:rPr>
          <w:lang w:eastAsia="ja-JP"/>
        </w:rPr>
        <w:t>Ne peuvent être indemnisés des coûts résultant de la négligence ou de la défaillance du titulaire.</w:t>
      </w:r>
    </w:p>
    <w:p>
      <w:pPr>
        <w:pStyle w:val="Titre2"/>
      </w:pPr>
      <w:bookmarkStart w:id="150" w:name="_Toc124763463"/>
      <w:bookmarkStart w:id="151" w:name="_Toc171514242"/>
      <w:r>
        <w:t>Modalités de communications en cas d’évènement perturbateur (crise)</w:t>
      </w:r>
      <w:bookmarkEnd w:id="150"/>
      <w:bookmarkEnd w:id="151"/>
    </w:p>
    <w:p>
      <w:pPr>
        <w:rPr>
          <w:lang w:eastAsia="ja-JP"/>
        </w:rPr>
      </w:pPr>
      <w:r>
        <w:rPr>
          <w:lang w:eastAsia="ja-JP"/>
        </w:rPr>
        <w:t>En période de crise, les réunions en présentiel peuvent être remplacées par des réunions à distance par tous moyens de téléconférence (audioconférence, visioconférence notamment).</w:t>
      </w:r>
    </w:p>
    <w:p>
      <w:pPr>
        <w:rPr>
          <w:lang w:eastAsia="ja-JP"/>
        </w:rPr>
      </w:pPr>
      <w:r>
        <w:rPr>
          <w:lang w:eastAsia="ja-JP"/>
        </w:rPr>
        <w:t>Lorsque les parties privilégient les échanges dématérialisés, les modalités fixées au présent marché s'appliquent (cf. notamment CCTP).</w:t>
      </w:r>
    </w:p>
    <w:p>
      <w:pPr>
        <w:rPr>
          <w:lang w:eastAsia="ja-JP"/>
        </w:rPr>
      </w:pPr>
      <w:r>
        <w:rPr>
          <w:lang w:eastAsia="ja-JP"/>
        </w:rPr>
        <w:t xml:space="preserve">Les collaborateurs du titulaire ou de ses cotraitants ou sous-traitants, doivent le cas échéant respecter les consignes sanitaires applicables dans les locaux administratifs qu’ils peuvent fréquenter au titre de leurs missions. Ils doivent être à jour le cas échéant de leurs obligations sanitaires. </w:t>
      </w:r>
    </w:p>
    <w:p>
      <w:pPr>
        <w:pStyle w:val="Titre1"/>
      </w:pPr>
      <w:bookmarkStart w:id="152" w:name="_Toc124763464"/>
      <w:bookmarkStart w:id="153" w:name="_Toc171514243"/>
      <w:r>
        <w:t>DEROGATIONS AU CCAG DE REFERENCE</w:t>
      </w:r>
      <w:bookmarkEnd w:id="152"/>
      <w:bookmarkEnd w:id="153"/>
    </w:p>
    <w:tbl>
      <w:tblPr>
        <w:tblStyle w:val="Grilledutableau"/>
        <w:tblW w:w="0" w:type="auto"/>
        <w:jc w:val="center"/>
        <w:tblLook w:val="04A0" w:firstRow="1" w:lastRow="0" w:firstColumn="1" w:lastColumn="0" w:noHBand="0" w:noVBand="1"/>
      </w:tblPr>
      <w:tblGrid>
        <w:gridCol w:w="1843"/>
        <w:gridCol w:w="3686"/>
        <w:gridCol w:w="3533"/>
      </w:tblGrid>
      <w:tr>
        <w:trPr>
          <w:trHeight w:val="824"/>
          <w:jc w:val="center"/>
        </w:trPr>
        <w:tc>
          <w:tcPr>
            <w:tcW w:w="1843" w:type="dxa"/>
            <w:vAlign w:val="center"/>
          </w:tcPr>
          <w:p>
            <w:pPr>
              <w:pStyle w:val="Standard"/>
              <w:rPr>
                <w:rFonts w:ascii="Marianne" w:hAnsi="Marianne"/>
                <w:highlight w:val="yellow"/>
              </w:rPr>
            </w:pPr>
            <w:r>
              <w:rPr>
                <w:rFonts w:ascii="Marianne" w:hAnsi="Marianne"/>
                <w:highlight w:val="yellow"/>
              </w:rPr>
              <w:t>Article du CCP</w:t>
            </w:r>
          </w:p>
        </w:tc>
        <w:tc>
          <w:tcPr>
            <w:tcW w:w="3686" w:type="dxa"/>
            <w:vAlign w:val="center"/>
          </w:tcPr>
          <w:p>
            <w:pPr>
              <w:pStyle w:val="Standard"/>
              <w:rPr>
                <w:rFonts w:ascii="Marianne" w:hAnsi="Marianne"/>
              </w:rPr>
            </w:pPr>
            <w:r>
              <w:rPr>
                <w:rFonts w:ascii="Marianne" w:hAnsi="Marianne"/>
              </w:rPr>
              <w:t>Article du CCAG auquel il fait</w:t>
            </w:r>
          </w:p>
          <w:p>
            <w:pPr>
              <w:pStyle w:val="Standard"/>
              <w:rPr>
                <w:rFonts w:ascii="Marianne" w:hAnsi="Marianne"/>
              </w:rPr>
            </w:pPr>
            <w:proofErr w:type="gramStart"/>
            <w:r>
              <w:rPr>
                <w:rFonts w:ascii="Marianne" w:hAnsi="Marianne"/>
              </w:rPr>
              <w:t>dérogation</w:t>
            </w:r>
            <w:proofErr w:type="gramEnd"/>
          </w:p>
        </w:tc>
        <w:tc>
          <w:tcPr>
            <w:tcW w:w="3533" w:type="dxa"/>
            <w:vAlign w:val="center"/>
          </w:tcPr>
          <w:p>
            <w:pPr>
              <w:pStyle w:val="Standard"/>
              <w:rPr>
                <w:rFonts w:ascii="Marianne" w:hAnsi="Marianne"/>
              </w:rPr>
            </w:pPr>
            <w:r>
              <w:rPr>
                <w:rFonts w:ascii="Marianne" w:hAnsi="Marianne"/>
              </w:rPr>
              <w:t>Commentaires – objet de la</w:t>
            </w:r>
          </w:p>
          <w:p>
            <w:pPr>
              <w:pStyle w:val="Standard"/>
              <w:rPr>
                <w:rFonts w:ascii="Marianne" w:hAnsi="Marianne"/>
              </w:rPr>
            </w:pPr>
            <w:proofErr w:type="gramStart"/>
            <w:r>
              <w:rPr>
                <w:rFonts w:ascii="Marianne" w:hAnsi="Marianne"/>
              </w:rPr>
              <w:t>dérogation</w:t>
            </w:r>
            <w:proofErr w:type="gramEnd"/>
          </w:p>
        </w:tc>
      </w:tr>
      <w:tr>
        <w:trPr>
          <w:jc w:val="center"/>
        </w:trPr>
        <w:tc>
          <w:tcPr>
            <w:tcW w:w="1843" w:type="dxa"/>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3.4.3</w:t>
            </w:r>
          </w:p>
        </w:tc>
        <w:tc>
          <w:tcPr>
            <w:tcW w:w="3533" w:type="dxa"/>
            <w:vAlign w:val="center"/>
          </w:tcPr>
          <w:p>
            <w:pPr>
              <w:pStyle w:val="Standard"/>
              <w:rPr>
                <w:rFonts w:ascii="Marianne" w:hAnsi="Marianne"/>
                <w:b w:val="0"/>
              </w:rPr>
            </w:pPr>
            <w:r>
              <w:rPr>
                <w:rFonts w:ascii="Marianne" w:hAnsi="Marianne"/>
                <w:b w:val="0"/>
              </w:rPr>
              <w:t>Délai de 30 jours rapporté à 10 jours</w:t>
            </w:r>
          </w:p>
          <w:p>
            <w:pPr>
              <w:pStyle w:val="Standard"/>
              <w:rPr>
                <w:rFonts w:ascii="Marianne" w:hAnsi="Marianne"/>
                <w:b w:val="0"/>
              </w:rPr>
            </w:pPr>
            <w:r>
              <w:rPr>
                <w:rFonts w:ascii="Marianne" w:hAnsi="Marianne"/>
                <w:b w:val="0"/>
              </w:rPr>
              <w:t>Désignation des représentants du titulaire dans l’offre du candidat</w:t>
            </w:r>
          </w:p>
        </w:tc>
      </w:tr>
      <w:tr>
        <w:trPr>
          <w:jc w:val="center"/>
        </w:trPr>
        <w:tc>
          <w:tcPr>
            <w:tcW w:w="1843" w:type="dxa"/>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31</w:t>
            </w:r>
          </w:p>
        </w:tc>
        <w:tc>
          <w:tcPr>
            <w:tcW w:w="3533" w:type="dxa"/>
            <w:vAlign w:val="center"/>
          </w:tcPr>
          <w:p>
            <w:pPr>
              <w:pStyle w:val="Standard"/>
              <w:rPr>
                <w:rFonts w:ascii="Marianne" w:hAnsi="Marianne"/>
                <w:b w:val="0"/>
              </w:rPr>
            </w:pPr>
            <w:r>
              <w:rPr>
                <w:rFonts w:ascii="Marianne" w:hAnsi="Marianne"/>
                <w:b w:val="0"/>
              </w:rPr>
              <w:t>Délai de destruction des données</w:t>
            </w:r>
          </w:p>
        </w:tc>
      </w:tr>
      <w:tr>
        <w:trPr>
          <w:jc w:val="center"/>
        </w:trPr>
        <w:tc>
          <w:tcPr>
            <w:tcW w:w="1843" w:type="dxa"/>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5.2</w:t>
            </w:r>
          </w:p>
        </w:tc>
        <w:tc>
          <w:tcPr>
            <w:tcW w:w="3533" w:type="dxa"/>
            <w:vAlign w:val="center"/>
          </w:tcPr>
          <w:p>
            <w:pPr>
              <w:pStyle w:val="Standard"/>
              <w:rPr>
                <w:rFonts w:ascii="Marianne" w:hAnsi="Marianne"/>
                <w:b w:val="0"/>
              </w:rPr>
            </w:pPr>
            <w:r>
              <w:rPr>
                <w:rFonts w:ascii="Marianne" w:hAnsi="Marianne"/>
                <w:b w:val="0"/>
              </w:rPr>
              <w:t>Précisions sur l’application du RGPD constituées en annexe à compléter en cours d’exécution</w:t>
            </w:r>
          </w:p>
        </w:tc>
      </w:tr>
      <w:tr>
        <w:trPr>
          <w:jc w:val="center"/>
        </w:trPr>
        <w:tc>
          <w:tcPr>
            <w:tcW w:w="1843" w:type="dxa"/>
            <w:vMerge w:val="restart"/>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14.1.1</w:t>
            </w:r>
          </w:p>
        </w:tc>
        <w:tc>
          <w:tcPr>
            <w:tcW w:w="3533" w:type="dxa"/>
            <w:vAlign w:val="center"/>
          </w:tcPr>
          <w:p>
            <w:pPr>
              <w:pStyle w:val="Standard"/>
              <w:rPr>
                <w:rFonts w:ascii="Marianne" w:hAnsi="Marianne"/>
                <w:b w:val="0"/>
              </w:rPr>
            </w:pPr>
            <w:r>
              <w:rPr>
                <w:rFonts w:ascii="Marianne" w:hAnsi="Marianne"/>
                <w:b w:val="0"/>
              </w:rPr>
              <w:t>Principe du contradictoire</w:t>
            </w:r>
          </w:p>
        </w:tc>
      </w:tr>
      <w:tr>
        <w:trPr>
          <w:jc w:val="center"/>
        </w:trPr>
        <w:tc>
          <w:tcPr>
            <w:tcW w:w="1843" w:type="dxa"/>
            <w:vMerge/>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14.1</w:t>
            </w:r>
          </w:p>
          <w:p>
            <w:pPr>
              <w:pStyle w:val="Standard"/>
              <w:rPr>
                <w:rFonts w:ascii="Marianne" w:hAnsi="Marianne"/>
                <w:b w:val="0"/>
              </w:rPr>
            </w:pPr>
            <w:r>
              <w:rPr>
                <w:rFonts w:ascii="Marianne" w:hAnsi="Marianne"/>
                <w:b w:val="0"/>
              </w:rPr>
              <w:t>14.2</w:t>
            </w:r>
          </w:p>
        </w:tc>
        <w:tc>
          <w:tcPr>
            <w:tcW w:w="3533" w:type="dxa"/>
            <w:vAlign w:val="center"/>
          </w:tcPr>
          <w:p>
            <w:pPr>
              <w:pStyle w:val="Standard"/>
              <w:rPr>
                <w:rFonts w:ascii="Marianne" w:hAnsi="Marianne"/>
                <w:b w:val="0"/>
              </w:rPr>
            </w:pPr>
            <w:r>
              <w:rPr>
                <w:rFonts w:ascii="Marianne" w:hAnsi="Marianne"/>
                <w:b w:val="0"/>
              </w:rPr>
              <w:t>Calcul des pénalités</w:t>
            </w:r>
          </w:p>
        </w:tc>
      </w:tr>
      <w:tr>
        <w:trPr>
          <w:jc w:val="center"/>
        </w:trPr>
        <w:tc>
          <w:tcPr>
            <w:tcW w:w="1843" w:type="dxa"/>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14.1.2</w:t>
            </w:r>
          </w:p>
          <w:p>
            <w:pPr>
              <w:pStyle w:val="Standard"/>
              <w:rPr>
                <w:rFonts w:ascii="Marianne" w:hAnsi="Marianne"/>
                <w:b w:val="0"/>
              </w:rPr>
            </w:pPr>
            <w:r>
              <w:rPr>
                <w:rFonts w:ascii="Marianne" w:hAnsi="Marianne"/>
                <w:b w:val="0"/>
              </w:rPr>
              <w:t>14.1.3</w:t>
            </w:r>
          </w:p>
        </w:tc>
        <w:tc>
          <w:tcPr>
            <w:tcW w:w="3533" w:type="dxa"/>
            <w:vAlign w:val="center"/>
          </w:tcPr>
          <w:p>
            <w:pPr>
              <w:pStyle w:val="Standard"/>
              <w:rPr>
                <w:rFonts w:ascii="Marianne" w:hAnsi="Marianne"/>
                <w:b w:val="0"/>
              </w:rPr>
            </w:pPr>
            <w:r>
              <w:rPr>
                <w:rFonts w:ascii="Marianne" w:hAnsi="Marianne"/>
                <w:b w:val="0"/>
              </w:rPr>
              <w:t>Seuil d’exonération des pénalités</w:t>
            </w:r>
          </w:p>
        </w:tc>
      </w:tr>
      <w:tr>
        <w:trPr>
          <w:jc w:val="center"/>
        </w:trPr>
        <w:tc>
          <w:tcPr>
            <w:tcW w:w="1843" w:type="dxa"/>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22</w:t>
            </w:r>
          </w:p>
        </w:tc>
        <w:tc>
          <w:tcPr>
            <w:tcW w:w="3533" w:type="dxa"/>
            <w:vAlign w:val="center"/>
          </w:tcPr>
          <w:p>
            <w:pPr>
              <w:pStyle w:val="Standard"/>
              <w:rPr>
                <w:rFonts w:ascii="Marianne" w:hAnsi="Marianne"/>
                <w:b w:val="0"/>
              </w:rPr>
            </w:pPr>
            <w:r>
              <w:rPr>
                <w:rFonts w:ascii="Marianne" w:hAnsi="Marianne"/>
                <w:b w:val="0"/>
              </w:rPr>
              <w:t>Non résiliation du marché en cas d’arrêt des prestations</w:t>
            </w:r>
          </w:p>
        </w:tc>
      </w:tr>
      <w:tr>
        <w:trPr>
          <w:jc w:val="center"/>
        </w:trPr>
        <w:tc>
          <w:tcPr>
            <w:tcW w:w="1843" w:type="dxa"/>
            <w:vMerge w:val="restart"/>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35.3.2</w:t>
            </w:r>
          </w:p>
        </w:tc>
        <w:tc>
          <w:tcPr>
            <w:tcW w:w="3533" w:type="dxa"/>
            <w:vAlign w:val="center"/>
          </w:tcPr>
          <w:p>
            <w:pPr>
              <w:pStyle w:val="Standard"/>
              <w:rPr>
                <w:rFonts w:ascii="Marianne" w:hAnsi="Marianne"/>
                <w:b w:val="0"/>
              </w:rPr>
            </w:pPr>
            <w:r>
              <w:rPr>
                <w:rFonts w:ascii="Marianne" w:hAnsi="Marianne"/>
                <w:b w:val="0"/>
              </w:rPr>
              <w:t>Droit de publication des résultats</w:t>
            </w:r>
          </w:p>
        </w:tc>
      </w:tr>
      <w:tr>
        <w:trPr>
          <w:jc w:val="center"/>
        </w:trPr>
        <w:tc>
          <w:tcPr>
            <w:tcW w:w="1843" w:type="dxa"/>
            <w:vMerge/>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35.4.3</w:t>
            </w:r>
          </w:p>
        </w:tc>
        <w:tc>
          <w:tcPr>
            <w:tcW w:w="3533" w:type="dxa"/>
            <w:vAlign w:val="center"/>
          </w:tcPr>
          <w:p>
            <w:pPr>
              <w:pStyle w:val="Standard"/>
              <w:rPr>
                <w:rFonts w:ascii="Marianne" w:hAnsi="Marianne"/>
                <w:b w:val="0"/>
              </w:rPr>
            </w:pPr>
            <w:r>
              <w:rPr>
                <w:rFonts w:ascii="Marianne" w:hAnsi="Marianne"/>
                <w:b w:val="0"/>
              </w:rPr>
              <w:t>Mention du titulaire dans les livrables</w:t>
            </w:r>
          </w:p>
        </w:tc>
      </w:tr>
      <w:tr>
        <w:trPr>
          <w:jc w:val="center"/>
        </w:trPr>
        <w:tc>
          <w:tcPr>
            <w:tcW w:w="1843" w:type="dxa"/>
            <w:vMerge/>
            <w:vAlign w:val="center"/>
          </w:tcPr>
          <w:p>
            <w:pPr>
              <w:pStyle w:val="Standard"/>
              <w:rPr>
                <w:rFonts w:ascii="Marianne" w:hAnsi="Marianne"/>
                <w:b w:val="0"/>
              </w:rPr>
            </w:pPr>
          </w:p>
        </w:tc>
        <w:tc>
          <w:tcPr>
            <w:tcW w:w="3686" w:type="dxa"/>
            <w:vAlign w:val="center"/>
          </w:tcPr>
          <w:p>
            <w:pPr>
              <w:pStyle w:val="Standard"/>
              <w:rPr>
                <w:rFonts w:ascii="Marianne" w:hAnsi="Marianne"/>
                <w:b w:val="0"/>
              </w:rPr>
            </w:pPr>
            <w:r>
              <w:rPr>
                <w:rFonts w:ascii="Marianne" w:hAnsi="Marianne"/>
                <w:b w:val="0"/>
              </w:rPr>
              <w:t>35.1.1</w:t>
            </w:r>
          </w:p>
        </w:tc>
        <w:tc>
          <w:tcPr>
            <w:tcW w:w="3533" w:type="dxa"/>
            <w:vAlign w:val="center"/>
          </w:tcPr>
          <w:p>
            <w:pPr>
              <w:pStyle w:val="Standard"/>
              <w:rPr>
                <w:rFonts w:ascii="Marianne" w:hAnsi="Marianne"/>
                <w:b w:val="0"/>
              </w:rPr>
            </w:pPr>
            <w:r>
              <w:rPr>
                <w:rFonts w:ascii="Marianne" w:hAnsi="Marianne"/>
                <w:b w:val="0"/>
              </w:rPr>
              <w:t>Etendue des droits de la cession</w:t>
            </w:r>
          </w:p>
        </w:tc>
      </w:tr>
    </w:tbl>
    <w:p>
      <w:pPr>
        <w:spacing w:before="0" w:after="200" w:line="276" w:lineRule="auto"/>
        <w:jc w:val="left"/>
        <w:rPr>
          <w:rFonts w:eastAsia="MS PMincho"/>
          <w:b/>
          <w:bCs/>
          <w:caps/>
          <w:kern w:val="22"/>
          <w:szCs w:val="48"/>
          <w:lang w:eastAsia="ja-JP"/>
        </w:rPr>
      </w:pPr>
      <w:bookmarkStart w:id="154" w:name="_Toc124763468"/>
    </w:p>
    <w:p>
      <w:pPr>
        <w:spacing w:before="0" w:after="200" w:line="276" w:lineRule="auto"/>
        <w:jc w:val="left"/>
        <w:rPr>
          <w:rFonts w:eastAsia="MS PMincho"/>
          <w:b/>
          <w:bCs/>
          <w:caps/>
          <w:kern w:val="22"/>
          <w:szCs w:val="48"/>
          <w:lang w:eastAsia="ja-JP"/>
        </w:rPr>
      </w:pPr>
      <w:r>
        <w:rPr>
          <w:rFonts w:eastAsia="MS PMincho"/>
          <w:b/>
          <w:bCs/>
          <w:caps/>
          <w:kern w:val="22"/>
          <w:szCs w:val="48"/>
          <w:lang w:eastAsia="ja-JP"/>
        </w:rPr>
        <w:br w:type="page"/>
      </w:r>
    </w:p>
    <w:p>
      <w:pPr>
        <w:pStyle w:val="Titre1"/>
        <w:numPr>
          <w:ilvl w:val="0"/>
          <w:numId w:val="0"/>
        </w:numPr>
      </w:pPr>
      <w:bookmarkStart w:id="155" w:name="_Toc171514244"/>
      <w:r>
        <w:t>annexe 1 : Formulaire RGPD - Contrat de traitement des données à caractère personnel entre le responsable de traitement et son sous-traitant</w:t>
      </w:r>
      <w:bookmarkEnd w:id="154"/>
      <w:bookmarkEnd w:id="155"/>
      <w:r>
        <w:t xml:space="preserve"> </w:t>
      </w:r>
    </w:p>
    <w:p>
      <w:pPr>
        <w:pStyle w:val="Corpsdetexte"/>
        <w:rPr>
          <w:lang w:eastAsia="ja-JP"/>
        </w:rPr>
      </w:pPr>
      <w:r>
        <w:rPr>
          <w:lang w:eastAsia="ja-JP"/>
        </w:rPr>
        <w:t xml:space="preserve">Le présent document est complété en fonction du dispositif mis en place. </w:t>
      </w:r>
    </w:p>
    <w:p>
      <w:pPr>
        <w:pStyle w:val="Corpsdetexte"/>
        <w:rPr>
          <w:lang w:eastAsia="ja-JP"/>
        </w:rPr>
      </w:pPr>
      <w:r>
        <w:rPr>
          <w:lang w:eastAsia="ja-JP"/>
        </w:rPr>
        <w:t>Précisions sur les mentions à faire figurer dans le présent document :</w:t>
      </w:r>
    </w:p>
    <w:p>
      <w:pPr>
        <w:pStyle w:val="Corpsdetexte"/>
        <w:numPr>
          <w:ilvl w:val="0"/>
          <w:numId w:val="10"/>
        </w:numPr>
        <w:rPr>
          <w:lang w:eastAsia="ja-JP"/>
        </w:rPr>
      </w:pPr>
      <w:r>
        <w:rPr>
          <w:lang w:eastAsia="ja-JP"/>
        </w:rPr>
        <w:t>Si la prestation comporte plusieurs traitements avec plusieurs objectifs (= finalités au sens RGPD), il convient de les expliciter un à un avec à chaque fois les éléments associés (nature, durée, types, catégories).</w:t>
      </w:r>
    </w:p>
    <w:p>
      <w:pPr>
        <w:pStyle w:val="Corpsdetexte"/>
        <w:numPr>
          <w:ilvl w:val="0"/>
          <w:numId w:val="10"/>
        </w:numPr>
        <w:rPr>
          <w:lang w:eastAsia="ja-JP"/>
        </w:rPr>
      </w:pPr>
      <w:r>
        <w:rPr>
          <w:lang w:eastAsia="ja-JP"/>
        </w:rPr>
        <w:t>Conformément au CCP et à la PSSIE, le traitement des données doit être effectué de préférence sur le territoire national, et obligatoirement pour les données sensibles ou à défaut dans un pays de l’Union européenne.</w:t>
      </w:r>
    </w:p>
    <w:p>
      <w:pPr>
        <w:pStyle w:val="Corpsdetexte"/>
        <w:numPr>
          <w:ilvl w:val="0"/>
          <w:numId w:val="10"/>
        </w:numPr>
        <w:rPr>
          <w:lang w:eastAsia="ja-JP"/>
        </w:rPr>
      </w:pPr>
      <w:r>
        <w:rPr>
          <w:lang w:eastAsia="ja-JP"/>
        </w:rPr>
        <w:t xml:space="preserve">Afin de se conformer à l’article 32 du RGPD, il convient de détailler les mesures de sécurisation, organisationnelles et informatiques, que le responsable de traitement souhaite voir mises en œuvre pour assurer un niveau de sécurisation suffisant (par ex. chiffrement/anonymisation, disponibilité des données, modalités de transfert des données entre </w:t>
      </w:r>
      <w:proofErr w:type="gramStart"/>
      <w:r>
        <w:rPr>
          <w:lang w:eastAsia="ja-JP"/>
        </w:rPr>
        <w:t>acteurs,…</w:t>
      </w:r>
      <w:proofErr w:type="gramEnd"/>
      <w:r>
        <w:rPr>
          <w:lang w:eastAsia="ja-JP"/>
        </w:rPr>
        <w:t>)</w:t>
      </w:r>
    </w:p>
    <w:p>
      <w:pPr>
        <w:pStyle w:val="Corpsdetexte"/>
        <w:ind w:left="720"/>
        <w:rPr>
          <w:lang w:eastAsia="ja-JP"/>
        </w:rPr>
      </w:pPr>
    </w:p>
    <w:p>
      <w:pPr>
        <w:pStyle w:val="Corpsdetexte"/>
        <w:rPr>
          <w:lang w:eastAsia="ja-JP"/>
        </w:rPr>
      </w:pPr>
    </w:p>
    <w:p>
      <w:pPr>
        <w:pStyle w:val="Standard"/>
        <w:rPr>
          <w:rFonts w:ascii="Marianne" w:hAnsi="Marianne"/>
        </w:rPr>
      </w:pPr>
    </w:p>
    <w:p>
      <w:pPr>
        <w:shd w:val="clear" w:color="auto" w:fill="EEECE1" w:themeFill="background2"/>
        <w:spacing w:line="259" w:lineRule="auto"/>
        <w:jc w:val="center"/>
        <w:rPr>
          <w:rFonts w:cstheme="minorBidi"/>
          <w:b/>
        </w:rPr>
      </w:pPr>
      <w:r>
        <w:rPr>
          <w:rFonts w:cstheme="minorBidi"/>
          <w:b/>
        </w:rPr>
        <w:t>Contrat de traitement des données à caractère personnel</w:t>
      </w:r>
    </w:p>
    <w:p>
      <w:pPr>
        <w:shd w:val="clear" w:color="auto" w:fill="EEECE1" w:themeFill="background2"/>
        <w:spacing w:line="259" w:lineRule="auto"/>
        <w:jc w:val="center"/>
        <w:rPr>
          <w:rFonts w:cstheme="minorBidi"/>
          <w:b/>
        </w:rPr>
      </w:pPr>
      <w:proofErr w:type="gramStart"/>
      <w:r>
        <w:rPr>
          <w:rFonts w:cstheme="minorBidi"/>
          <w:b/>
        </w:rPr>
        <w:t>entre</w:t>
      </w:r>
      <w:proofErr w:type="gramEnd"/>
      <w:r>
        <w:rPr>
          <w:rFonts w:cstheme="minorBidi"/>
          <w:b/>
        </w:rPr>
        <w:t xml:space="preserve"> le responsable de traitement et son sous-traitant</w:t>
      </w:r>
    </w:p>
    <w:p>
      <w:pPr>
        <w:pBdr>
          <w:bottom w:val="single" w:sz="6" w:space="1" w:color="auto"/>
        </w:pBdr>
        <w:shd w:val="clear" w:color="auto" w:fill="EEECE1" w:themeFill="background2"/>
        <w:spacing w:after="160" w:line="259" w:lineRule="auto"/>
        <w:rPr>
          <w:rFonts w:cstheme="minorBidi"/>
          <w:b/>
        </w:rPr>
      </w:pPr>
    </w:p>
    <w:p>
      <w:pPr>
        <w:shd w:val="clear" w:color="auto" w:fill="EEECE1" w:themeFill="background2"/>
        <w:spacing w:after="160" w:line="259" w:lineRule="auto"/>
        <w:rPr>
          <w:rFonts w:cstheme="minorBidi"/>
          <w:szCs w:val="20"/>
        </w:rPr>
      </w:pPr>
      <w:r>
        <w:rPr>
          <w:rFonts w:cstheme="minorBidi"/>
          <w:szCs w:val="20"/>
        </w:rPr>
        <w:t>Le présent contrat prend effet à compter de sa signature,</w:t>
      </w:r>
    </w:p>
    <w:p>
      <w:pPr>
        <w:shd w:val="clear" w:color="auto" w:fill="EEECE1" w:themeFill="background2"/>
        <w:spacing w:after="160" w:line="259" w:lineRule="auto"/>
        <w:rPr>
          <w:rFonts w:cstheme="minorBidi"/>
          <w:szCs w:val="20"/>
        </w:rPr>
      </w:pPr>
      <w:r>
        <w:rPr>
          <w:rFonts w:cstheme="minorBidi"/>
          <w:b/>
          <w:szCs w:val="20"/>
        </w:rPr>
        <w:t>ENTRE</w:t>
      </w:r>
      <w:r>
        <w:rPr>
          <w:rFonts w:cstheme="minorBidi"/>
          <w:szCs w:val="20"/>
        </w:rPr>
        <w:t> : [Nom du responsable de traitement], occupant la fonction de [intitulé du poste] au sein de [organisation] basé(e) au [adresse]</w:t>
      </w:r>
    </w:p>
    <w:p>
      <w:pPr>
        <w:shd w:val="clear" w:color="auto" w:fill="EEECE1" w:themeFill="background2"/>
        <w:spacing w:after="160" w:line="259" w:lineRule="auto"/>
        <w:rPr>
          <w:rFonts w:cstheme="minorBidi"/>
          <w:szCs w:val="20"/>
        </w:rPr>
      </w:pPr>
      <w:r>
        <w:rPr>
          <w:rFonts w:cstheme="minorBidi"/>
          <w:b/>
          <w:szCs w:val="20"/>
        </w:rPr>
        <w:t>ET </w:t>
      </w:r>
      <w:r>
        <w:rPr>
          <w:rFonts w:cstheme="minorBidi"/>
          <w:szCs w:val="20"/>
        </w:rPr>
        <w:t>:</w:t>
      </w:r>
      <w:r>
        <w:rPr>
          <w:rFonts w:cstheme="minorBidi"/>
          <w:b/>
          <w:szCs w:val="20"/>
        </w:rPr>
        <w:t xml:space="preserve"> </w:t>
      </w:r>
      <w:r>
        <w:rPr>
          <w:rFonts w:cstheme="minorBidi"/>
          <w:szCs w:val="20"/>
        </w:rPr>
        <w:t>[organisme sous-traitant], basé(e) au [adresse]</w:t>
      </w:r>
    </w:p>
    <w:p>
      <w:pPr>
        <w:numPr>
          <w:ilvl w:val="0"/>
          <w:numId w:val="9"/>
        </w:numPr>
        <w:shd w:val="clear" w:color="auto" w:fill="EEECE1" w:themeFill="background2"/>
        <w:spacing w:before="0" w:after="160" w:line="259" w:lineRule="auto"/>
        <w:ind w:left="284" w:hanging="284"/>
        <w:contextualSpacing/>
        <w:jc w:val="left"/>
        <w:rPr>
          <w:rFonts w:cstheme="minorBidi"/>
          <w:szCs w:val="20"/>
        </w:rPr>
      </w:pPr>
      <w:r>
        <w:rPr>
          <w:rFonts w:cstheme="minorBidi"/>
          <w:szCs w:val="20"/>
        </w:rPr>
        <w:t>Dans le cadre de l’opération de traitement de données à caractère personnel suivante,</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jc w:val="center"/>
        <w:rPr>
          <w:rFonts w:cstheme="minorBidi"/>
          <w:b/>
          <w:szCs w:val="20"/>
        </w:rPr>
      </w:pPr>
      <w:r>
        <w:rPr>
          <w:rFonts w:cstheme="minorBidi"/>
          <w:b/>
          <w:szCs w:val="20"/>
        </w:rPr>
        <w:t>(</w:t>
      </w:r>
      <w:r>
        <w:rPr>
          <w:rFonts w:cstheme="minorBidi"/>
          <w:b/>
          <w:i/>
          <w:szCs w:val="20"/>
        </w:rPr>
        <w:t>Partie réservée au responsable de traitement</w:t>
      </w:r>
      <w:r>
        <w:rPr>
          <w:rFonts w:cstheme="minorBidi"/>
          <w:b/>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jc w:val="left"/>
        <w:rPr>
          <w:rFonts w:cstheme="minorBidi"/>
          <w:szCs w:val="20"/>
        </w:rPr>
      </w:pPr>
      <w:r>
        <w:rPr>
          <w:rFonts w:cstheme="minorBidi"/>
          <w:szCs w:val="20"/>
        </w:rPr>
        <w:t>Nom du projet : …………………………………………………………………………………………………………………………………………… </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jc w:val="left"/>
        <w:rPr>
          <w:rFonts w:cstheme="minorBidi"/>
          <w:szCs w:val="20"/>
        </w:rPr>
      </w:pPr>
      <w:r>
        <w:rPr>
          <w:rFonts w:cstheme="minorBidi"/>
          <w:szCs w:val="20"/>
        </w:rPr>
        <w:t>Objectif(s) du traitement : …………………………………………………………………………………………………………………………….</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jc w:val="left"/>
        <w:rPr>
          <w:rFonts w:cstheme="minorBidi"/>
          <w:szCs w:val="20"/>
        </w:rPr>
      </w:pPr>
      <w:r>
        <w:rPr>
          <w:rFonts w:cstheme="minorBidi"/>
          <w:szCs w:val="20"/>
        </w:rPr>
        <w:t>Nature du traitement : ………………………………………………………………………………………………………………</w:t>
      </w:r>
      <w:proofErr w:type="gramStart"/>
      <w:r>
        <w:rPr>
          <w:rFonts w:cstheme="minorBidi"/>
          <w:szCs w:val="20"/>
        </w:rPr>
        <w:t>…….</w:t>
      </w:r>
      <w:proofErr w:type="gramEnd"/>
      <w:r>
        <w:rPr>
          <w:rFonts w:cstheme="minorBidi"/>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Durée du traitement : du ………………………… au …………………………</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Type(s) de donnée(s) à caractère personnel concernée(s) : …………………………………………………………</w:t>
      </w:r>
      <w:proofErr w:type="gramStart"/>
      <w:r>
        <w:rPr>
          <w:rFonts w:cstheme="minorBidi"/>
          <w:szCs w:val="20"/>
        </w:rPr>
        <w:t>…....</w:t>
      </w:r>
      <w:proofErr w:type="gramEnd"/>
      <w:r>
        <w:rPr>
          <w:rFonts w:cstheme="minorBidi"/>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w:t>
      </w:r>
    </w:p>
    <w:p>
      <w:pPr>
        <w:pBdr>
          <w:top w:val="single" w:sz="4" w:space="1" w:color="auto"/>
          <w:left w:val="single" w:sz="4" w:space="4" w:color="auto"/>
          <w:bottom w:val="single" w:sz="4" w:space="1" w:color="auto"/>
          <w:right w:val="single" w:sz="4" w:space="0" w:color="auto"/>
        </w:pBdr>
        <w:shd w:val="clear" w:color="auto" w:fill="EEECE1" w:themeFill="background2"/>
        <w:spacing w:after="160" w:line="259" w:lineRule="auto"/>
        <w:rPr>
          <w:rFonts w:cstheme="minorBidi"/>
          <w:szCs w:val="20"/>
        </w:rPr>
      </w:pPr>
      <w:r>
        <w:rPr>
          <w:rFonts w:cstheme="minorBidi"/>
          <w:szCs w:val="20"/>
        </w:rPr>
        <w:t>Catégorie(s) de personne(s) concernée(s) : ……………………………………………………………………………………………………</w:t>
      </w:r>
      <w:proofErr w:type="gramStart"/>
      <w:r>
        <w:rPr>
          <w:rFonts w:cstheme="minorBidi"/>
          <w:szCs w:val="20"/>
        </w:rPr>
        <w:t>…….</w:t>
      </w:r>
      <w:proofErr w:type="gramEnd"/>
      <w:r>
        <w:rPr>
          <w:rFonts w:cstheme="minorBidi"/>
          <w:szCs w:val="20"/>
        </w:rPr>
        <w:t>.………………………………………………………….</w:t>
      </w:r>
    </w:p>
    <w:p>
      <w:pPr>
        <w:numPr>
          <w:ilvl w:val="0"/>
          <w:numId w:val="9"/>
        </w:numPr>
        <w:shd w:val="clear" w:color="auto" w:fill="EEECE1" w:themeFill="background2"/>
        <w:spacing w:before="0" w:after="160" w:line="259" w:lineRule="auto"/>
        <w:ind w:left="284" w:hanging="284"/>
        <w:contextualSpacing/>
        <w:rPr>
          <w:rFonts w:cstheme="minorBidi"/>
          <w:szCs w:val="20"/>
        </w:rPr>
      </w:pPr>
      <w:r>
        <w:rPr>
          <w:rFonts w:cstheme="minorBidi"/>
          <w:szCs w:val="20"/>
        </w:rPr>
        <w:t xml:space="preserve">Et conformément à l’article 28 du Règlement Général sur la Protection des Données (RGPD), </w:t>
      </w:r>
    </w:p>
    <w:p>
      <w:pPr>
        <w:shd w:val="clear" w:color="auto" w:fill="EEECE1" w:themeFill="background2"/>
        <w:spacing w:line="259" w:lineRule="auto"/>
        <w:rPr>
          <w:rFonts w:cstheme="minorBidi"/>
          <w:szCs w:val="20"/>
        </w:rPr>
      </w:pPr>
    </w:p>
    <w:p>
      <w:pPr>
        <w:shd w:val="clear" w:color="auto" w:fill="EEECE1" w:themeFill="background2"/>
        <w:spacing w:line="259" w:lineRule="auto"/>
        <w:rPr>
          <w:rFonts w:cstheme="minorBidi"/>
          <w:szCs w:val="20"/>
        </w:rPr>
      </w:pPr>
      <w:r>
        <w:rPr>
          <w:rFonts w:cstheme="minorBidi"/>
          <w:szCs w:val="20"/>
        </w:rPr>
        <w:t>Le sous-traitant s’engage en signant ce présent contrat à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ne</w:t>
      </w:r>
      <w:proofErr w:type="gramEnd"/>
      <w:r>
        <w:rPr>
          <w:rFonts w:cstheme="minorBidi"/>
        </w:rPr>
        <w:t xml:space="preserve"> pas recruter d’autre sous-traitant que </w:t>
      </w:r>
      <w:proofErr w:type="spellStart"/>
      <w:r>
        <w:rPr>
          <w:rFonts w:cstheme="minorBidi"/>
        </w:rPr>
        <w:t>xxxxx</w:t>
      </w:r>
      <w:proofErr w:type="spellEnd"/>
      <w:r>
        <w:rPr>
          <w:rFonts w:cstheme="minorBidi"/>
        </w:rPr>
        <w:t> ; ce contrat valant accord du responsable de traitement pour le recrutement de ce sous-traitant du sous-traitant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ne</w:t>
      </w:r>
      <w:proofErr w:type="gramEnd"/>
      <w:r>
        <w:rPr>
          <w:rFonts w:cstheme="minorBidi"/>
        </w:rPr>
        <w:t xml:space="preserve"> traiter que les données à caractère personnel sus mentionnées et ne les traiter que sur instruction documentée du responsable de traitement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ce</w:t>
      </w:r>
      <w:proofErr w:type="gramEnd"/>
      <w:r>
        <w:rPr>
          <w:rFonts w:cstheme="minorBidi"/>
        </w:rPr>
        <w:t xml:space="preserve"> que les données à caractère personnel soient stockées à </w:t>
      </w:r>
      <w:proofErr w:type="spellStart"/>
      <w:r>
        <w:rPr>
          <w:rFonts w:cstheme="minorBidi"/>
        </w:rPr>
        <w:t>xxxx</w:t>
      </w:r>
      <w:proofErr w:type="spellEnd"/>
      <w:r>
        <w:rPr>
          <w:rFonts w:cstheme="minorBidi"/>
        </w:rPr>
        <w:t xml:space="preserve"> et à prendre toutes les mesures pour qu’il n’y ait aucun transfert de données à caractère personnel autre qu’entre les acteurs concernés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veiller</w:t>
      </w:r>
      <w:proofErr w:type="gramEnd"/>
      <w:r>
        <w:rPr>
          <w:rFonts w:cstheme="minorBidi"/>
        </w:rPr>
        <w:t xml:space="preserve"> à ce que les personnes autorisées s’engagent à respecter la confidentialité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garantir</w:t>
      </w:r>
      <w:proofErr w:type="gramEnd"/>
      <w:r>
        <w:rPr>
          <w:rFonts w:cstheme="minorBidi"/>
        </w:rPr>
        <w:t xml:space="preserve"> la sécurité du traitement conformément aux dispositions de l’article 32 du RGPD et notamment </w:t>
      </w:r>
      <w:proofErr w:type="spellStart"/>
      <w:r>
        <w:rPr>
          <w:rFonts w:cstheme="minorBidi"/>
        </w:rPr>
        <w:t>xxxx</w:t>
      </w:r>
      <w:proofErr w:type="spellEnd"/>
      <w:r>
        <w:rPr>
          <w:rFonts w:cstheme="minorBidi"/>
        </w:rPr>
        <w:t xml:space="preserve">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aider</w:t>
      </w:r>
      <w:proofErr w:type="gramEnd"/>
      <w:r>
        <w:rPr>
          <w:rFonts w:cstheme="minorBidi"/>
        </w:rPr>
        <w:t xml:space="preserve"> le responsable de traitement, dans toute la mesure du possible, à s’acquitter de son obligation de donner suite aux demandes des répondants concernant leur droit d’observation, de rectification, et de suppression de leur(s) donnée(s) à caractère personnel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selon</w:t>
      </w:r>
      <w:proofErr w:type="gramEnd"/>
      <w:r>
        <w:rPr>
          <w:rFonts w:cstheme="minorBidi"/>
        </w:rPr>
        <w:t xml:space="preserve"> le choix du responsable de traitement (rayer la mention inutile) : </w:t>
      </w:r>
    </w:p>
    <w:p>
      <w:pPr>
        <w:numPr>
          <w:ilvl w:val="1"/>
          <w:numId w:val="8"/>
        </w:numPr>
        <w:shd w:val="clear" w:color="auto" w:fill="EEECE1" w:themeFill="background2"/>
        <w:spacing w:before="0" w:after="160" w:line="259" w:lineRule="auto"/>
        <w:contextualSpacing/>
        <w:rPr>
          <w:rFonts w:cstheme="minorBidi"/>
        </w:rPr>
      </w:pPr>
      <w:proofErr w:type="gramStart"/>
      <w:r>
        <w:rPr>
          <w:rFonts w:cstheme="minorBidi"/>
        </w:rPr>
        <w:t>supprimer</w:t>
      </w:r>
      <w:proofErr w:type="gramEnd"/>
      <w:r>
        <w:rPr>
          <w:rFonts w:cstheme="minorBidi"/>
        </w:rPr>
        <w:t xml:space="preserve"> toutes les données à caractère personnel au terme de la prestation de service </w:t>
      </w:r>
    </w:p>
    <w:p>
      <w:pPr>
        <w:numPr>
          <w:ilvl w:val="1"/>
          <w:numId w:val="8"/>
        </w:numPr>
        <w:shd w:val="clear" w:color="auto" w:fill="EEECE1" w:themeFill="background2"/>
        <w:spacing w:before="0" w:after="160" w:line="259" w:lineRule="auto"/>
        <w:contextualSpacing/>
        <w:rPr>
          <w:rFonts w:cstheme="minorBidi"/>
        </w:rPr>
      </w:pPr>
      <w:proofErr w:type="gramStart"/>
      <w:r>
        <w:rPr>
          <w:rFonts w:cstheme="minorBidi"/>
        </w:rPr>
        <w:t>ou</w:t>
      </w:r>
      <w:proofErr w:type="gramEnd"/>
      <w:r>
        <w:rPr>
          <w:rFonts w:cstheme="minorBidi"/>
        </w:rPr>
        <w:t xml:space="preserve"> les renvoyer au responsable de traitement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mettre</w:t>
      </w:r>
      <w:proofErr w:type="gramEnd"/>
      <w:r>
        <w:rPr>
          <w:rFonts w:cstheme="minorBidi"/>
        </w:rPr>
        <w:t xml:space="preserve"> à disposition du responsable de traitement toutes les informations nécessaires pour démontrer le respect des obligations relatives au RGPD ;</w:t>
      </w:r>
    </w:p>
    <w:p>
      <w:pPr>
        <w:numPr>
          <w:ilvl w:val="0"/>
          <w:numId w:val="8"/>
        </w:numPr>
        <w:shd w:val="clear" w:color="auto" w:fill="EEECE1" w:themeFill="background2"/>
        <w:spacing w:before="0" w:after="160" w:line="259" w:lineRule="auto"/>
        <w:contextualSpacing/>
        <w:rPr>
          <w:rFonts w:cstheme="minorBidi"/>
        </w:rPr>
      </w:pPr>
      <w:proofErr w:type="gramStart"/>
      <w:r>
        <w:rPr>
          <w:rFonts w:cstheme="minorBidi"/>
        </w:rPr>
        <w:t>signer</w:t>
      </w:r>
      <w:proofErr w:type="gramEnd"/>
      <w:r>
        <w:rPr>
          <w:rFonts w:cstheme="minorBidi"/>
        </w:rPr>
        <w:t xml:space="preserve"> avec son propre sous-traitant un contrat du même type définissant les actions attendues permettant de garantir la meilleure conformité au RGPD</w:t>
      </w:r>
    </w:p>
    <w:p>
      <w:pPr>
        <w:shd w:val="clear" w:color="auto" w:fill="EEECE1" w:themeFill="background2"/>
        <w:spacing w:before="0" w:after="160" w:line="259" w:lineRule="auto"/>
        <w:ind w:left="360"/>
        <w:rPr>
          <w:rFonts w:cstheme="minorHAnsi"/>
          <w:szCs w:val="20"/>
        </w:rPr>
      </w:pPr>
      <w:r>
        <w:rPr>
          <w:rFonts w:cstheme="minorHAnsi"/>
          <w:szCs w:val="20"/>
        </w:rPr>
        <w:t>Le présent contrat est régi par le droit français. Tout litige, se rapportant au contrat et qui n’aurait pas pu faire l’objet d’une résolution amiable entre les parties, sera porté devant la juridiction administrative française compétente.</w:t>
      </w:r>
    </w:p>
    <w:p>
      <w:pPr>
        <w:shd w:val="clear" w:color="auto" w:fill="EEECE1" w:themeFill="background2"/>
        <w:spacing w:after="160" w:line="259" w:lineRule="auto"/>
        <w:rPr>
          <w:rFonts w:cstheme="minorBidi"/>
          <w:u w:val="single"/>
        </w:rPr>
      </w:pPr>
    </w:p>
    <w:p>
      <w:pPr>
        <w:shd w:val="clear" w:color="auto" w:fill="EEECE1" w:themeFill="background2"/>
        <w:spacing w:after="160" w:line="259" w:lineRule="auto"/>
        <w:rPr>
          <w:rFonts w:cstheme="minorBidi"/>
          <w:u w:val="single"/>
        </w:rPr>
      </w:pPr>
      <w:r>
        <w:rPr>
          <w:rFonts w:cstheme="minorBidi"/>
          <w:u w:val="single"/>
        </w:rPr>
        <w:t>Responsable de traitement</w:t>
      </w:r>
      <w:r>
        <w:rPr>
          <w:rFonts w:cstheme="minorBidi"/>
        </w:rPr>
        <w:tab/>
      </w:r>
      <w:r>
        <w:rPr>
          <w:rFonts w:cstheme="minorBidi"/>
        </w:rPr>
        <w:tab/>
      </w:r>
      <w:r>
        <w:rPr>
          <w:rFonts w:cstheme="minorBidi"/>
        </w:rPr>
        <w:tab/>
      </w:r>
      <w:r>
        <w:rPr>
          <w:rFonts w:cstheme="minorBidi"/>
        </w:rPr>
        <w:tab/>
      </w:r>
      <w:r>
        <w:rPr>
          <w:rFonts w:cstheme="minorBidi"/>
        </w:rPr>
        <w:tab/>
        <w:t xml:space="preserve"> </w:t>
      </w:r>
      <w:r>
        <w:rPr>
          <w:rFonts w:cstheme="minorBidi"/>
          <w:u w:val="single"/>
        </w:rPr>
        <w:t>Sous-traitant</w:t>
      </w:r>
    </w:p>
    <w:p>
      <w:pPr>
        <w:shd w:val="clear" w:color="auto" w:fill="EEECE1" w:themeFill="background2"/>
        <w:spacing w:line="259" w:lineRule="auto"/>
        <w:rPr>
          <w:rFonts w:cstheme="minorBidi"/>
        </w:rPr>
      </w:pPr>
      <w:r>
        <w:rPr>
          <w:rFonts w:cstheme="minorBidi"/>
        </w:rPr>
        <w:t>Fait à ………………… le ……………………</w:t>
      </w:r>
      <w:r>
        <w:rPr>
          <w:rFonts w:cstheme="minorBidi"/>
        </w:rPr>
        <w:tab/>
      </w:r>
      <w:r>
        <w:rPr>
          <w:rFonts w:cstheme="minorBidi"/>
        </w:rPr>
        <w:tab/>
      </w:r>
      <w:r>
        <w:rPr>
          <w:rFonts w:cstheme="minorBidi"/>
        </w:rPr>
        <w:tab/>
      </w:r>
      <w:r>
        <w:rPr>
          <w:rFonts w:cstheme="minorBidi"/>
        </w:rPr>
        <w:tab/>
      </w:r>
      <w:r>
        <w:rPr>
          <w:rFonts w:cstheme="minorBidi"/>
        </w:rPr>
        <w:tab/>
        <w:t>Fait à ……………… le ……………………</w:t>
      </w:r>
    </w:p>
    <w:p>
      <w:pPr>
        <w:rPr>
          <w:lang w:eastAsia="ja-JP"/>
        </w:rPr>
      </w:pPr>
      <w:r>
        <w:rPr>
          <w:rFonts w:cstheme="minorBidi"/>
        </w:rPr>
        <w:t xml:space="preserve">Signature : </w:t>
      </w:r>
      <w:r>
        <w:rPr>
          <w:rFonts w:cstheme="minorBidi"/>
        </w:rPr>
        <w:tab/>
      </w:r>
      <w:r>
        <w:rPr>
          <w:rFonts w:cstheme="minorBidi"/>
        </w:rPr>
        <w:tab/>
      </w:r>
      <w:r>
        <w:rPr>
          <w:rFonts w:cstheme="minorBidi"/>
        </w:rPr>
        <w:tab/>
      </w:r>
      <w:r>
        <w:rPr>
          <w:rFonts w:cstheme="minorBidi"/>
        </w:rPr>
        <w:tab/>
      </w:r>
      <w:r>
        <w:rPr>
          <w:rFonts w:cstheme="minorBidi"/>
        </w:rPr>
        <w:tab/>
      </w:r>
      <w:r>
        <w:rPr>
          <w:rFonts w:cstheme="minorBidi"/>
        </w:rPr>
        <w:tab/>
      </w:r>
      <w:r>
        <w:rPr>
          <w:rFonts w:cstheme="minorBidi"/>
        </w:rPr>
        <w:tab/>
        <w:t>Signature :</w:t>
      </w:r>
    </w:p>
    <w:p>
      <w:pPr>
        <w:rPr>
          <w:lang w:eastAsia="ja-JP"/>
        </w:rPr>
      </w:pPr>
    </w:p>
    <w:p>
      <w:pPr>
        <w:rPr>
          <w:lang w:eastAsia="ja-JP"/>
        </w:rPr>
      </w:pPr>
      <w:r>
        <w:rPr>
          <w:lang w:eastAsia="ja-JP"/>
        </w:rPr>
        <w:br w:type="page"/>
      </w:r>
    </w:p>
    <w:p>
      <w:pPr>
        <w:pStyle w:val="Titre1"/>
        <w:numPr>
          <w:ilvl w:val="0"/>
          <w:numId w:val="0"/>
        </w:numPr>
        <w:ind w:firstLine="283"/>
      </w:pPr>
      <w:bookmarkStart w:id="156" w:name="_Toc124763469"/>
      <w:bookmarkStart w:id="157" w:name="_Toc171514245"/>
      <w:r>
        <w:t>Annexe 2 : Modèle de déclaration d’intéret</w:t>
      </w:r>
      <w:bookmarkEnd w:id="156"/>
      <w:bookmarkEnd w:id="157"/>
    </w:p>
    <w:p>
      <w:pPr>
        <w:pStyle w:val="Titre2"/>
        <w:numPr>
          <w:ilvl w:val="0"/>
          <w:numId w:val="0"/>
        </w:numPr>
        <w:ind w:left="283"/>
      </w:pPr>
      <w:bookmarkStart w:id="158" w:name="_Toc124763470"/>
      <w:bookmarkStart w:id="159" w:name="_Toc171514246"/>
      <w:r>
        <w:t>Conflit d’intérêt personnel</w:t>
      </w:r>
      <w:bookmarkEnd w:id="158"/>
      <w:bookmarkEnd w:id="159"/>
    </w:p>
    <w:p>
      <w:pPr>
        <w:rPr>
          <w:rStyle w:val="lev"/>
          <w:rFonts w:ascii="Marianne" w:hAnsi="Marianne"/>
          <w:b w:val="0"/>
          <w:bCs w:val="0"/>
        </w:rPr>
      </w:pPr>
      <w:r>
        <w:rPr>
          <w:rStyle w:val="lev"/>
          <w:rFonts w:ascii="Marianne" w:hAnsi="Marianne"/>
          <w:b w:val="0"/>
          <w:bCs w:val="0"/>
        </w:rPr>
        <w:t>Le présent document est rempli pour chaque membre de l’équipe mobilisée pour la réalisation des prestations, avant chaque démarrage de prestation, au regard de sa situation professionnelle ou personnelle (mandataire, co-traitant ou sous-traitant).</w:t>
      </w:r>
    </w:p>
    <w:p>
      <w:pPr>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bCs w:val="0"/>
          <w:u w:val="single"/>
        </w:rPr>
        <w:t>Identité</w:t>
      </w:r>
    </w:p>
    <w:p>
      <w:pPr>
        <w:shd w:val="clear" w:color="auto" w:fill="F2F2F2" w:themeFill="background1" w:themeFillShade="F2"/>
      </w:pPr>
      <w:r>
        <w:t>M. / Mme (rayez la mention inutile)</w:t>
      </w:r>
      <w:r>
        <w:rPr>
          <w:rStyle w:val="lev"/>
          <w:rFonts w:ascii="Marianne" w:hAnsi="Marianne"/>
          <w:b w:val="0"/>
          <w:bCs w:val="0"/>
        </w:rPr>
        <w:t> </w:t>
      </w:r>
    </w:p>
    <w:p>
      <w:pPr>
        <w:shd w:val="clear" w:color="auto" w:fill="F2F2F2" w:themeFill="background1" w:themeFillShade="F2"/>
      </w:pPr>
      <w:r>
        <w:t>Nom</w:t>
      </w:r>
      <w:r>
        <w:rPr>
          <w:rStyle w:val="lev"/>
          <w:rFonts w:ascii="Marianne" w:hAnsi="Marianne"/>
          <w:b w:val="0"/>
          <w:bCs w:val="0"/>
        </w:rPr>
        <w:t> :</w:t>
      </w:r>
    </w:p>
    <w:p>
      <w:pPr>
        <w:shd w:val="clear" w:color="auto" w:fill="F2F2F2" w:themeFill="background1" w:themeFillShade="F2"/>
      </w:pPr>
      <w:r>
        <w:t>Prénom</w:t>
      </w:r>
      <w:r>
        <w:rPr>
          <w:rStyle w:val="lev"/>
          <w:rFonts w:ascii="Marianne" w:hAnsi="Marianne"/>
          <w:b w:val="0"/>
          <w:bCs w:val="0"/>
        </w:rPr>
        <w:t> :</w:t>
      </w:r>
    </w:p>
    <w:p>
      <w:pPr>
        <w:shd w:val="clear" w:color="auto" w:fill="F2F2F2" w:themeFill="background1" w:themeFillShade="F2"/>
      </w:pPr>
      <w:r>
        <w:t xml:space="preserve">Fonctions au titre desquelles est produite la déclaration : </w:t>
      </w:r>
    </w:p>
    <w:p>
      <w:pPr>
        <w:shd w:val="clear" w:color="auto" w:fill="F2F2F2" w:themeFill="background1" w:themeFillShade="F2"/>
      </w:pPr>
      <w:r>
        <w:t xml:space="preserve">Nom et adresse de l’organisme : </w:t>
      </w:r>
    </w:p>
    <w:p>
      <w:pPr>
        <w:shd w:val="clear" w:color="auto" w:fill="F2F2F2" w:themeFill="background1" w:themeFillShade="F2"/>
      </w:pPr>
    </w:p>
    <w:p>
      <w:pPr>
        <w:shd w:val="clear" w:color="auto" w:fill="F2F2F2" w:themeFill="background1" w:themeFillShade="F2"/>
      </w:pPr>
      <w:r>
        <w:t>Adresse de messagerie électronique :</w:t>
      </w:r>
    </w:p>
    <w:p>
      <w:pPr>
        <w:shd w:val="clear" w:color="auto" w:fill="F2F2F2" w:themeFill="background1" w:themeFillShade="F2"/>
        <w:rPr>
          <w:rStyle w:val="lev"/>
          <w:rFonts w:ascii="Marianne" w:hAnsi="Marianne"/>
          <w:b w:val="0"/>
          <w:bCs w:val="0"/>
        </w:rPr>
      </w:pPr>
      <w:r>
        <w:t>Coordonnées téléphoniques :</w:t>
      </w:r>
    </w:p>
    <w:p>
      <w:pPr>
        <w:shd w:val="clear" w:color="auto" w:fill="F2F2F2" w:themeFill="background1" w:themeFillShade="F2"/>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bCs w:val="0"/>
          <w:u w:val="single"/>
        </w:rPr>
        <w:t>Contexte de la déclaration :</w:t>
      </w:r>
    </w:p>
    <w:p>
      <w:pPr>
        <w:shd w:val="clear" w:color="auto" w:fill="F2F2F2" w:themeFill="background1" w:themeFillShade="F2"/>
        <w:rPr>
          <w:rStyle w:val="lev"/>
          <w:rFonts w:ascii="Marianne" w:hAnsi="Marianne"/>
          <w:b w:val="0"/>
          <w:bCs w:val="0"/>
        </w:rPr>
      </w:pPr>
      <w:r>
        <w:rPr>
          <w:rStyle w:val="lev"/>
          <w:rFonts w:ascii="Marianne" w:hAnsi="Marianne"/>
          <w:b w:val="0"/>
          <w:bCs w:val="0"/>
        </w:rPr>
        <w:t>Objet de la prestation concernée :</w:t>
      </w:r>
    </w:p>
    <w:p>
      <w:pPr>
        <w:shd w:val="clear" w:color="auto" w:fill="F2F2F2" w:themeFill="background1" w:themeFillShade="F2"/>
        <w:rPr>
          <w:rStyle w:val="lev"/>
          <w:rFonts w:ascii="Marianne" w:hAnsi="Marianne"/>
          <w:b w:val="0"/>
          <w:bCs w:val="0"/>
        </w:rPr>
      </w:pPr>
      <w:r>
        <w:rPr>
          <w:rStyle w:val="lev"/>
          <w:rFonts w:ascii="Marianne" w:hAnsi="Marianne"/>
          <w:b w:val="0"/>
          <w:bCs w:val="0"/>
        </w:rPr>
        <w:t>Administration commanditaire :</w:t>
      </w:r>
    </w:p>
    <w:p>
      <w:pPr>
        <w:shd w:val="clear" w:color="auto" w:fill="F2F2F2" w:themeFill="background1" w:themeFillShade="F2"/>
        <w:rPr>
          <w:rStyle w:val="lev"/>
          <w:rFonts w:ascii="Marianne" w:hAnsi="Marianne"/>
          <w:b w:val="0"/>
          <w:bCs w:val="0"/>
        </w:rPr>
      </w:pPr>
      <w:r>
        <w:rPr>
          <w:rStyle w:val="lev"/>
          <w:rFonts w:ascii="Marianne" w:hAnsi="Marianne"/>
          <w:b w:val="0"/>
          <w:bCs w:val="0"/>
        </w:rPr>
        <w:t>Date de réalisation de la prestation : Du ________ au ________</w:t>
      </w:r>
    </w:p>
    <w:p>
      <w:pPr>
        <w:shd w:val="clear" w:color="auto" w:fill="F2F2F2" w:themeFill="background1" w:themeFillShade="F2"/>
        <w:rPr>
          <w:b/>
          <w:u w:val="single"/>
        </w:rPr>
      </w:pPr>
      <w:r>
        <w:rPr>
          <w:b/>
          <w:u w:val="single"/>
        </w:rPr>
        <w:t>Option à compléter</w:t>
      </w:r>
    </w:p>
    <w:p>
      <w:pPr>
        <w:shd w:val="clear" w:color="auto" w:fill="F2F2F2" w:themeFill="background1" w:themeFillShade="F2"/>
      </w:pPr>
      <w:sdt>
        <w:sdtPr>
          <w:id w:val="149037185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ne pas présenter de situation de potentiel conflit d’intérêt</w:t>
      </w:r>
      <w:r>
        <w:t>.</w:t>
      </w:r>
    </w:p>
    <w:p>
      <w:pPr>
        <w:shd w:val="clear" w:color="auto" w:fill="F2F2F2" w:themeFill="background1" w:themeFillShade="F2"/>
        <w:rPr>
          <w:b/>
          <w:u w:val="single"/>
        </w:rPr>
      </w:pPr>
    </w:p>
    <w:p>
      <w:pPr>
        <w:shd w:val="clear" w:color="auto" w:fill="F2F2F2" w:themeFill="background1" w:themeFillShade="F2"/>
      </w:pPr>
      <w:sdt>
        <w:sdtPr>
          <w:id w:val="-203672325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être en situation de potentiel conflit d’intérêt pour les raisons suivantes</w:t>
      </w:r>
      <w:r>
        <w:t> (</w:t>
      </w:r>
      <w:r>
        <w:rPr>
          <w:i/>
        </w:rPr>
        <w:t>Cocher la case et détailler</w:t>
      </w:r>
      <w:r>
        <w:t>) :</w:t>
      </w:r>
    </w:p>
    <w:p>
      <w:pPr>
        <w:shd w:val="clear" w:color="auto" w:fill="F2F2F2" w:themeFill="background1" w:themeFillShade="F2"/>
        <w:ind w:left="708"/>
      </w:pPr>
      <w:sdt>
        <w:sdtPr>
          <w:rPr>
            <w:rFonts w:eastAsia="MS Gothic"/>
          </w:rPr>
          <w:id w:val="61655917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 effectué une prestation auprès d’un client dont les intérêts entreraient en interférence avec les intérêts de la prestation effectuée auprès de l’administration au cours des 5 dernières années, </w:t>
      </w:r>
    </w:p>
    <w:p>
      <w:pPr>
        <w:shd w:val="clear" w:color="auto" w:fill="F2F2F2" w:themeFill="background1" w:themeFillShade="F2"/>
        <w:ind w:left="708"/>
      </w:pPr>
      <w:sdt>
        <w:sdtPr>
          <w:rPr>
            <w:rFonts w:eastAsia="MS Gothic"/>
          </w:rPr>
          <w:id w:val="13846500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Est un ancien agent de l’Etat ou de toute autre administration depuis moins de 5 ans,</w:t>
      </w:r>
    </w:p>
    <w:p>
      <w:pPr>
        <w:shd w:val="clear" w:color="auto" w:fill="F2F2F2" w:themeFill="background1" w:themeFillShade="F2"/>
        <w:ind w:left="708"/>
      </w:pPr>
      <w:sdt>
        <w:sdtPr>
          <w:id w:val="128608761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Participe aux organes dirigeants d’un organisme public ou privé ou d’une société au cours des cinq dernières années ;</w:t>
      </w:r>
    </w:p>
    <w:p>
      <w:pPr>
        <w:shd w:val="clear" w:color="auto" w:fill="F2F2F2" w:themeFill="background1" w:themeFillShade="F2"/>
        <w:ind w:left="708"/>
      </w:pPr>
      <w:sdt>
        <w:sdtPr>
          <w:id w:val="168778920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de participations financières directes dans le capital d’un organisme privé dont les intérêts pourraient interférer avec les intérêts de la prestation à effectuer ou a disposé au cours des cinq dernières années ;</w:t>
      </w:r>
    </w:p>
    <w:p>
      <w:pPr>
        <w:shd w:val="clear" w:color="auto" w:fill="F2F2F2" w:themeFill="background1" w:themeFillShade="F2"/>
        <w:ind w:left="708"/>
      </w:pPr>
      <w:sdt>
        <w:sdtPr>
          <w:id w:val="-190999899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 conjoint ou partenaire de PACS réalise une activité qui pourrait être contraire aux intérêts de la prestation ;</w:t>
      </w:r>
    </w:p>
    <w:p>
      <w:pPr>
        <w:shd w:val="clear" w:color="auto" w:fill="F2F2F2" w:themeFill="background1" w:themeFillShade="F2"/>
        <w:ind w:left="708"/>
      </w:pPr>
      <w:sdt>
        <w:sdtPr>
          <w:id w:val="-158213576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d’une fonction ou d’un mandat électif en lien avec la prestation à assurer</w:t>
      </w:r>
    </w:p>
    <w:p>
      <w:pPr>
        <w:shd w:val="clear" w:color="auto" w:fill="F2F2F2" w:themeFill="background1" w:themeFillShade="F2"/>
        <w:ind w:left="708"/>
      </w:pPr>
      <w:sdt>
        <w:sdtPr>
          <w:id w:val="100640916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d’une fonction associative en lien avec la prestation à assurer</w:t>
      </w:r>
    </w:p>
    <w:p>
      <w:pPr>
        <w:shd w:val="clear" w:color="auto" w:fill="F2F2F2" w:themeFill="background1" w:themeFillShade="F2"/>
        <w:ind w:left="708"/>
      </w:pPr>
      <w:sdt>
        <w:sdtPr>
          <w:id w:val="152080810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Autre</w:t>
      </w:r>
    </w:p>
    <w:p>
      <w:pPr>
        <w:shd w:val="clear" w:color="auto" w:fill="F2F2F2" w:themeFill="background1" w:themeFillShade="F2"/>
        <w:rPr>
          <w:u w:val="single"/>
        </w:rPr>
      </w:pPr>
      <w:r>
        <w:rPr>
          <w:u w:val="single"/>
        </w:rPr>
        <w:t>Explications :</w:t>
      </w: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r>
        <w:t xml:space="preserve">Je soussigné _______________________________ certifie sur l’honneur l’exactitude des renseignements indiqués dans la présente déclaration. </w:t>
      </w:r>
    </w:p>
    <w:p>
      <w:pPr>
        <w:shd w:val="clear" w:color="auto" w:fill="F2F2F2" w:themeFill="background1" w:themeFillShade="F2"/>
      </w:pPr>
      <w:r>
        <w:t>En cas de conflit avéré, je déclare accepter les dispositions d’organisation qui seront prises par l’administration concernant les prestations en cours (retrait de mon champ d’attribution, supervision renforcée, etc.).</w:t>
      </w:r>
    </w:p>
    <w:p>
      <w:pPr>
        <w:shd w:val="clear" w:color="auto" w:fill="F2F2F2" w:themeFill="background1" w:themeFillShade="F2"/>
      </w:pPr>
      <w:proofErr w:type="gramStart"/>
      <w:r>
        <w:t>Fait le</w:t>
      </w:r>
      <w:proofErr w:type="gramEnd"/>
      <w:r>
        <w:t xml:space="preserve"> _____________</w:t>
      </w:r>
    </w:p>
    <w:p>
      <w:pPr>
        <w:shd w:val="clear" w:color="auto" w:fill="F2F2F2" w:themeFill="background1" w:themeFillShade="F2"/>
      </w:pPr>
      <w:r>
        <w:t>Signature :</w:t>
      </w:r>
    </w:p>
    <w:p/>
    <w:p>
      <w:pPr>
        <w:pStyle w:val="Titre2"/>
        <w:numPr>
          <w:ilvl w:val="0"/>
          <w:numId w:val="0"/>
        </w:numPr>
        <w:ind w:left="283"/>
      </w:pPr>
      <w:bookmarkStart w:id="160" w:name="_Toc124763471"/>
      <w:bookmarkStart w:id="161" w:name="_Toc171514247"/>
      <w:r>
        <w:t>Conflit d’intérêt de l’entreprise</w:t>
      </w:r>
      <w:bookmarkEnd w:id="160"/>
      <w:bookmarkEnd w:id="161"/>
    </w:p>
    <w:p>
      <w:pPr>
        <w:rPr>
          <w:rStyle w:val="lev"/>
          <w:rFonts w:ascii="Marianne" w:hAnsi="Marianne"/>
          <w:b w:val="0"/>
          <w:bCs w:val="0"/>
        </w:rPr>
      </w:pPr>
      <w:r>
        <w:rPr>
          <w:rStyle w:val="lev"/>
          <w:rFonts w:ascii="Marianne" w:hAnsi="Marianne"/>
          <w:b w:val="0"/>
          <w:bCs w:val="0"/>
        </w:rPr>
        <w:t xml:space="preserve">Le présent document est rempli par </w:t>
      </w:r>
      <w:proofErr w:type="gramStart"/>
      <w:r>
        <w:rPr>
          <w:rStyle w:val="lev"/>
          <w:rFonts w:ascii="Marianne" w:hAnsi="Marianne"/>
          <w:b w:val="0"/>
          <w:bCs w:val="0"/>
        </w:rPr>
        <w:t>une personne habilité</w:t>
      </w:r>
      <w:proofErr w:type="gramEnd"/>
      <w:r>
        <w:rPr>
          <w:rStyle w:val="lev"/>
          <w:rFonts w:ascii="Marianne" w:hAnsi="Marianne"/>
          <w:b w:val="0"/>
          <w:bCs w:val="0"/>
        </w:rPr>
        <w:t xml:space="preserve"> à représenter l’entreprise, voire le groupement le cas échéant, avant chaque démarrage de prestation, au regard des activités de l’entreprise.</w:t>
      </w:r>
    </w:p>
    <w:p>
      <w:pPr>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bCs w:val="0"/>
          <w:u w:val="single"/>
        </w:rPr>
        <w:t>Identité de l’entreprise et personne habilité à la représenter</w:t>
      </w:r>
    </w:p>
    <w:p>
      <w:pPr>
        <w:shd w:val="clear" w:color="auto" w:fill="F2F2F2" w:themeFill="background1" w:themeFillShade="F2"/>
        <w:rPr>
          <w:rStyle w:val="lev"/>
          <w:rFonts w:ascii="Marianne" w:hAnsi="Marianne"/>
          <w:b w:val="0"/>
          <w:bCs w:val="0"/>
          <w:i/>
        </w:rPr>
      </w:pPr>
      <w:r>
        <w:rPr>
          <w:rStyle w:val="lev"/>
          <w:rFonts w:ascii="Marianne" w:hAnsi="Marianne"/>
          <w:b w:val="0"/>
          <w:bCs w:val="0"/>
          <w:i/>
        </w:rPr>
        <w:t>Joindre à la présente déclaration le pouvoir de la personne habilitée à représenter la société.</w:t>
      </w:r>
    </w:p>
    <w:p>
      <w:pPr>
        <w:shd w:val="clear" w:color="auto" w:fill="F2F2F2" w:themeFill="background1" w:themeFillShade="F2"/>
      </w:pPr>
      <w:r>
        <w:t>M. / Mme (rayez la mention inutile)</w:t>
      </w:r>
      <w:r>
        <w:rPr>
          <w:rStyle w:val="lev"/>
          <w:rFonts w:ascii="Marianne" w:hAnsi="Marianne"/>
          <w:b w:val="0"/>
          <w:bCs w:val="0"/>
        </w:rPr>
        <w:t> </w:t>
      </w:r>
    </w:p>
    <w:p>
      <w:pPr>
        <w:shd w:val="clear" w:color="auto" w:fill="F2F2F2" w:themeFill="background1" w:themeFillShade="F2"/>
      </w:pPr>
      <w:r>
        <w:t>Nom</w:t>
      </w:r>
      <w:r>
        <w:rPr>
          <w:rStyle w:val="lev"/>
          <w:rFonts w:ascii="Marianne" w:hAnsi="Marianne"/>
          <w:b w:val="0"/>
          <w:bCs w:val="0"/>
        </w:rPr>
        <w:t> :</w:t>
      </w:r>
    </w:p>
    <w:p>
      <w:pPr>
        <w:shd w:val="clear" w:color="auto" w:fill="F2F2F2" w:themeFill="background1" w:themeFillShade="F2"/>
      </w:pPr>
      <w:r>
        <w:t>Prénom</w:t>
      </w:r>
      <w:r>
        <w:rPr>
          <w:rStyle w:val="lev"/>
          <w:rFonts w:ascii="Marianne" w:hAnsi="Marianne"/>
          <w:b w:val="0"/>
          <w:bCs w:val="0"/>
        </w:rPr>
        <w:t> :</w:t>
      </w:r>
    </w:p>
    <w:p>
      <w:pPr>
        <w:shd w:val="clear" w:color="auto" w:fill="F2F2F2" w:themeFill="background1" w:themeFillShade="F2"/>
      </w:pPr>
      <w:r>
        <w:t xml:space="preserve">Fonctions au titre desquelles est produite la déclaration : </w:t>
      </w:r>
    </w:p>
    <w:p>
      <w:pPr>
        <w:shd w:val="clear" w:color="auto" w:fill="F2F2F2" w:themeFill="background1" w:themeFillShade="F2"/>
      </w:pPr>
      <w:r>
        <w:t xml:space="preserve">Nom et adresse de l’organisme : </w:t>
      </w:r>
    </w:p>
    <w:p>
      <w:pPr>
        <w:shd w:val="clear" w:color="auto" w:fill="F2F2F2" w:themeFill="background1" w:themeFillShade="F2"/>
      </w:pPr>
    </w:p>
    <w:p>
      <w:pPr>
        <w:shd w:val="clear" w:color="auto" w:fill="F2F2F2" w:themeFill="background1" w:themeFillShade="F2"/>
      </w:pPr>
      <w:r>
        <w:t>Adresse de messagerie électronique :</w:t>
      </w:r>
    </w:p>
    <w:p>
      <w:pPr>
        <w:shd w:val="clear" w:color="auto" w:fill="F2F2F2" w:themeFill="background1" w:themeFillShade="F2"/>
        <w:rPr>
          <w:rStyle w:val="lev"/>
          <w:rFonts w:ascii="Marianne" w:hAnsi="Marianne"/>
          <w:b w:val="0"/>
          <w:bCs w:val="0"/>
        </w:rPr>
      </w:pPr>
      <w:r>
        <w:t>Coordonnées téléphoniques :</w:t>
      </w:r>
    </w:p>
    <w:p>
      <w:pPr>
        <w:shd w:val="clear" w:color="auto" w:fill="F2F2F2" w:themeFill="background1" w:themeFillShade="F2"/>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bCs w:val="0"/>
          <w:u w:val="single"/>
        </w:rPr>
        <w:t>Contexte de la déclaration :</w:t>
      </w:r>
    </w:p>
    <w:p>
      <w:pPr>
        <w:shd w:val="clear" w:color="auto" w:fill="F2F2F2" w:themeFill="background1" w:themeFillShade="F2"/>
        <w:rPr>
          <w:rStyle w:val="lev"/>
          <w:rFonts w:ascii="Marianne" w:hAnsi="Marianne"/>
          <w:b w:val="0"/>
          <w:bCs w:val="0"/>
        </w:rPr>
      </w:pPr>
      <w:r>
        <w:rPr>
          <w:rStyle w:val="lev"/>
          <w:rFonts w:ascii="Marianne" w:hAnsi="Marianne"/>
          <w:b w:val="0"/>
          <w:bCs w:val="0"/>
        </w:rPr>
        <w:t xml:space="preserve">Objet de la </w:t>
      </w:r>
      <w:r>
        <w:t>prestation</w:t>
      </w:r>
      <w:r>
        <w:rPr>
          <w:i/>
        </w:rPr>
        <w:t xml:space="preserve"> </w:t>
      </w:r>
      <w:r>
        <w:rPr>
          <w:rStyle w:val="lev"/>
          <w:rFonts w:ascii="Marianne" w:hAnsi="Marianne"/>
          <w:b w:val="0"/>
          <w:bCs w:val="0"/>
        </w:rPr>
        <w:t>concernée :</w:t>
      </w:r>
    </w:p>
    <w:p>
      <w:pPr>
        <w:shd w:val="clear" w:color="auto" w:fill="F2F2F2" w:themeFill="background1" w:themeFillShade="F2"/>
        <w:rPr>
          <w:rStyle w:val="lev"/>
          <w:rFonts w:ascii="Marianne" w:hAnsi="Marianne"/>
          <w:b w:val="0"/>
          <w:bCs w:val="0"/>
        </w:rPr>
      </w:pPr>
      <w:r>
        <w:rPr>
          <w:rStyle w:val="lev"/>
          <w:rFonts w:ascii="Marianne" w:hAnsi="Marianne"/>
          <w:b w:val="0"/>
          <w:bCs w:val="0"/>
        </w:rPr>
        <w:t>Administration commanditaire :</w:t>
      </w:r>
    </w:p>
    <w:p>
      <w:pPr>
        <w:shd w:val="clear" w:color="auto" w:fill="F2F2F2" w:themeFill="background1" w:themeFillShade="F2"/>
        <w:rPr>
          <w:rStyle w:val="lev"/>
          <w:rFonts w:ascii="Marianne" w:hAnsi="Marianne"/>
          <w:b w:val="0"/>
          <w:bCs w:val="0"/>
        </w:rPr>
      </w:pPr>
      <w:r>
        <w:rPr>
          <w:rStyle w:val="lev"/>
          <w:rFonts w:ascii="Marianne" w:hAnsi="Marianne"/>
          <w:b w:val="0"/>
          <w:bCs w:val="0"/>
        </w:rPr>
        <w:t>Date de réalisation de la prestation : Du ________ au ________</w:t>
      </w:r>
    </w:p>
    <w:p>
      <w:pPr>
        <w:shd w:val="clear" w:color="auto" w:fill="F2F2F2" w:themeFill="background1" w:themeFillShade="F2"/>
        <w:rPr>
          <w:b/>
          <w:u w:val="single"/>
        </w:rPr>
      </w:pPr>
      <w:r>
        <w:rPr>
          <w:b/>
          <w:u w:val="single"/>
        </w:rPr>
        <w:t>Option à compléter</w:t>
      </w:r>
    </w:p>
    <w:p>
      <w:pPr>
        <w:shd w:val="clear" w:color="auto" w:fill="F2F2F2" w:themeFill="background1" w:themeFillShade="F2"/>
      </w:pPr>
      <w:sdt>
        <w:sdtPr>
          <w:id w:val="-185556540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ne pas présenter de situation de potentiel conflit d’intérêt</w:t>
      </w:r>
      <w:r>
        <w:t>.</w:t>
      </w:r>
    </w:p>
    <w:p>
      <w:pPr>
        <w:shd w:val="clear" w:color="auto" w:fill="F2F2F2" w:themeFill="background1" w:themeFillShade="F2"/>
        <w:rPr>
          <w:b/>
          <w:u w:val="single"/>
        </w:rPr>
      </w:pPr>
    </w:p>
    <w:p>
      <w:pPr>
        <w:shd w:val="clear" w:color="auto" w:fill="F2F2F2" w:themeFill="background1" w:themeFillShade="F2"/>
      </w:pPr>
      <w:sdt>
        <w:sdtPr>
          <w:id w:val="-2108835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être en situation de potentiel conflit d’intérêt pour les raisons suivantes</w:t>
      </w:r>
      <w:r>
        <w:t> (</w:t>
      </w:r>
      <w:r>
        <w:rPr>
          <w:i/>
        </w:rPr>
        <w:t>Cocher la case et détailler</w:t>
      </w:r>
      <w:r>
        <w:t>) :</w:t>
      </w:r>
      <w:r>
        <w:rPr>
          <w:i/>
        </w:rPr>
        <w:t xml:space="preserve"> </w:t>
      </w:r>
    </w:p>
    <w:p>
      <w:pPr>
        <w:shd w:val="clear" w:color="auto" w:fill="F2F2F2" w:themeFill="background1" w:themeFillShade="F2"/>
        <w:ind w:left="708"/>
      </w:pPr>
      <w:sdt>
        <w:sdtPr>
          <w:id w:val="-19864696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a effectué une prestation auprès d’un client dont les intérêts entreraient en interférence avec les intérêts de la prestation effectuée auprès de l’administration au cours des 5 dernières années, </w:t>
      </w:r>
    </w:p>
    <w:p>
      <w:pPr>
        <w:shd w:val="clear" w:color="auto" w:fill="F2F2F2" w:themeFill="background1" w:themeFillShade="F2"/>
        <w:ind w:left="708"/>
      </w:pPr>
      <w:sdt>
        <w:sdtPr>
          <w:id w:val="-7707687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va effectuer une prestation auprès d’un client dont les intérêts entreraient en interférence avec les intérêts de la prestation effectuée auprès de l’administration</w:t>
      </w:r>
    </w:p>
    <w:p>
      <w:pPr>
        <w:shd w:val="clear" w:color="auto" w:fill="F2F2F2" w:themeFill="background1" w:themeFillShade="F2"/>
        <w:ind w:left="708"/>
      </w:pPr>
      <w:sdt>
        <w:sdtPr>
          <w:id w:val="6647035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dispose de participations financières directes dans le capital d’un organisme privé dont les intérêts pourraient interférer avec les intérêts de la prestation à effectuer</w:t>
      </w:r>
    </w:p>
    <w:p>
      <w:pPr>
        <w:shd w:val="clear" w:color="auto" w:fill="F2F2F2" w:themeFill="background1" w:themeFillShade="F2"/>
        <w:ind w:left="708"/>
      </w:pPr>
      <w:sdt>
        <w:sdtPr>
          <w:id w:val="-43537179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bénéficie de subventions publiques ou privées qui pourraient altérer son objectivité</w:t>
      </w:r>
    </w:p>
    <w:p>
      <w:pPr>
        <w:shd w:val="clear" w:color="auto" w:fill="F2F2F2" w:themeFill="background1" w:themeFillShade="F2"/>
        <w:ind w:left="708"/>
      </w:pPr>
      <w:sdt>
        <w:sdtPr>
          <w:id w:val="105382170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Autre</w:t>
      </w:r>
    </w:p>
    <w:p>
      <w:pPr>
        <w:shd w:val="clear" w:color="auto" w:fill="F2F2F2" w:themeFill="background1" w:themeFillShade="F2"/>
        <w:rPr>
          <w:u w:val="single"/>
        </w:rPr>
      </w:pPr>
      <w:r>
        <w:rPr>
          <w:u w:val="single"/>
        </w:rPr>
        <w:t>Explications :</w:t>
      </w: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r>
        <w:t xml:space="preserve">Je soussigné _______________________________ certifie sur l’honneur l’exactitude des renseignements indiqués dans la présente déclaration. </w:t>
      </w:r>
    </w:p>
    <w:p>
      <w:pPr>
        <w:shd w:val="clear" w:color="auto" w:fill="F2F2F2" w:themeFill="background1" w:themeFillShade="F2"/>
      </w:pPr>
      <w:r>
        <w:t>En cas de conflit avéré, je déclare accepter les dispositions d’organisation qui seront prises par l’administration concernant les prestations en cours (retrait de la mission, supervision renforcée, etc.).</w:t>
      </w:r>
    </w:p>
    <w:p>
      <w:pPr>
        <w:shd w:val="clear" w:color="auto" w:fill="F2F2F2" w:themeFill="background1" w:themeFillShade="F2"/>
      </w:pPr>
      <w:proofErr w:type="gramStart"/>
      <w:r>
        <w:t>Fait le</w:t>
      </w:r>
      <w:proofErr w:type="gramEnd"/>
      <w:r>
        <w:t xml:space="preserve"> _____________</w:t>
      </w:r>
    </w:p>
    <w:p>
      <w:pPr>
        <w:shd w:val="clear" w:color="auto" w:fill="F2F2F2" w:themeFill="background1" w:themeFillShade="F2"/>
      </w:pPr>
      <w:r>
        <w:t>Signature :</w:t>
      </w:r>
    </w:p>
    <w:p/>
    <w:p/>
    <w:p/>
    <w:p/>
    <w:p>
      <w:pPr>
        <w:rPr>
          <w:lang w:eastAsia="ja-JP"/>
        </w:rPr>
      </w:pPr>
    </w:p>
    <w:sectPr>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auto"/>
    <w:pitch w:val="variable"/>
    <w:sig w:usb0="0000000F" w:usb1="00000000" w:usb2="00000000" w:usb3="00000000" w:csb0="00000003" w:csb1="00000000"/>
  </w:font>
  <w:font w:name="MS PMincho">
    <w:charset w:val="80"/>
    <w:family w:val="roman"/>
    <w:pitch w:val="variable"/>
    <w:sig w:usb0="E00002FF" w:usb1="6AC7FDFB" w:usb2="08000012" w:usb3="00000000" w:csb0="0002009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927759"/>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21</w:t>
        </w:r>
        <w: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 n » s’entend du nombre total de services publics locaux éligibles au label et rattachés au service publics central candidat (ex. n agences France Travail, n caisses d’allocation familiales…)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rPr>
        <w:i/>
      </w:rPr>
    </w:pPr>
    <w:r>
      <w:rPr>
        <w:i/>
        <w:highlight w:val="yellow"/>
      </w:rPr>
      <w:t>En-tête du service public candidat</w:t>
    </w: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37B"/>
    <w:multiLevelType w:val="hybridMultilevel"/>
    <w:tmpl w:val="9C2E0DA4"/>
    <w:lvl w:ilvl="0" w:tplc="948C3B5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CD2A29"/>
    <w:multiLevelType w:val="hybridMultilevel"/>
    <w:tmpl w:val="FFA2B7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40404E2"/>
    <w:multiLevelType w:val="hybridMultilevel"/>
    <w:tmpl w:val="294A4F84"/>
    <w:lvl w:ilvl="0" w:tplc="040C0001">
      <w:start w:val="1"/>
      <w:numFmt w:val="bullet"/>
      <w:lvlText w:val=""/>
      <w:lvlJc w:val="left"/>
      <w:pPr>
        <w:ind w:left="720" w:hanging="360"/>
      </w:pPr>
      <w:rPr>
        <w:rFonts w:ascii="Symbol" w:hAnsi="Symbol" w:hint="default"/>
      </w:rPr>
    </w:lvl>
    <w:lvl w:ilvl="1" w:tplc="074641CA">
      <w:numFmt w:val="bullet"/>
      <w:lvlText w:val="•"/>
      <w:lvlJc w:val="left"/>
      <w:pPr>
        <w:ind w:left="1785" w:hanging="705"/>
      </w:pPr>
      <w:rPr>
        <w:rFonts w:ascii="Times New Roman" w:eastAsiaTheme="minorHAnsi"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54A5DFB"/>
    <w:multiLevelType w:val="hybridMultilevel"/>
    <w:tmpl w:val="4A5E6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5E38EE"/>
    <w:multiLevelType w:val="hybridMultilevel"/>
    <w:tmpl w:val="9626C176"/>
    <w:lvl w:ilvl="0" w:tplc="B65801A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2F1726"/>
    <w:multiLevelType w:val="hybridMultilevel"/>
    <w:tmpl w:val="AAAC3B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A12692"/>
    <w:multiLevelType w:val="hybridMultilevel"/>
    <w:tmpl w:val="BFB87C04"/>
    <w:lvl w:ilvl="0" w:tplc="839C8D1C">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C712FE"/>
    <w:multiLevelType w:val="multilevel"/>
    <w:tmpl w:val="89F03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26308"/>
    <w:multiLevelType w:val="hybridMultilevel"/>
    <w:tmpl w:val="68E0EB34"/>
    <w:lvl w:ilvl="0" w:tplc="C1DA670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297A6F"/>
    <w:multiLevelType w:val="hybridMultilevel"/>
    <w:tmpl w:val="7D56E6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FB72DB"/>
    <w:multiLevelType w:val="hybridMultilevel"/>
    <w:tmpl w:val="2C0670E6"/>
    <w:lvl w:ilvl="0" w:tplc="04C65A88">
      <w:numFmt w:val="bullet"/>
      <w:lvlText w:val="-"/>
      <w:lvlJc w:val="left"/>
      <w:pPr>
        <w:ind w:left="1065" w:hanging="705"/>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39C5653"/>
    <w:multiLevelType w:val="hybridMultilevel"/>
    <w:tmpl w:val="F1C46D94"/>
    <w:lvl w:ilvl="0" w:tplc="839C8D1C">
      <w:numFmt w:val="bullet"/>
      <w:lvlText w:val="-"/>
      <w:lvlJc w:val="left"/>
      <w:pPr>
        <w:ind w:left="720" w:hanging="360"/>
      </w:pPr>
      <w:rPr>
        <w:rFonts w:ascii="Marianne" w:eastAsiaTheme="minorHAnsi"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7676B0"/>
    <w:multiLevelType w:val="hybridMultilevel"/>
    <w:tmpl w:val="2C3ED4CA"/>
    <w:lvl w:ilvl="0" w:tplc="04C65A88">
      <w:numFmt w:val="bullet"/>
      <w:lvlText w:val="-"/>
      <w:lvlJc w:val="left"/>
      <w:pPr>
        <w:ind w:left="1065" w:hanging="705"/>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FF7210"/>
    <w:multiLevelType w:val="hybridMultilevel"/>
    <w:tmpl w:val="44E68CEA"/>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4" w15:restartNumberingAfterBreak="0">
    <w:nsid w:val="6B3F2086"/>
    <w:multiLevelType w:val="hybridMultilevel"/>
    <w:tmpl w:val="B9069390"/>
    <w:lvl w:ilvl="0" w:tplc="3C82D72E">
      <w:start w:val="36"/>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EC4561"/>
    <w:multiLevelType w:val="hybridMultilevel"/>
    <w:tmpl w:val="FDF67FB4"/>
    <w:lvl w:ilvl="0" w:tplc="43403CD4">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F3D565A"/>
    <w:multiLevelType w:val="hybridMultilevel"/>
    <w:tmpl w:val="226C0654"/>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A72E19"/>
    <w:multiLevelType w:val="hybridMultilevel"/>
    <w:tmpl w:val="96C0D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F14BED"/>
    <w:multiLevelType w:val="hybridMultilevel"/>
    <w:tmpl w:val="116EEE6E"/>
    <w:lvl w:ilvl="0" w:tplc="BE16C5C0">
      <w:start w:val="36"/>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A54FD"/>
    <w:multiLevelType w:val="multilevel"/>
    <w:tmpl w:val="1A30EA94"/>
    <w:lvl w:ilvl="0">
      <w:start w:val="1"/>
      <w:numFmt w:val="decimal"/>
      <w:pStyle w:val="Titre1"/>
      <w:suff w:val="space"/>
      <w:lvlText w:val="Article %1 - "/>
      <w:lvlJc w:val="left"/>
      <w:pPr>
        <w:ind w:left="0" w:firstLine="283"/>
      </w:pPr>
    </w:lvl>
    <w:lvl w:ilvl="1">
      <w:start w:val="1"/>
      <w:numFmt w:val="decimal"/>
      <w:pStyle w:val="Titre2"/>
      <w:suff w:val="space"/>
      <w:lvlText w:val="%1.%2 "/>
      <w:lvlJc w:val="left"/>
      <w:pPr>
        <w:ind w:left="0" w:firstLine="283"/>
      </w:pPr>
    </w:lvl>
    <w:lvl w:ilvl="2">
      <w:start w:val="1"/>
      <w:numFmt w:val="decimal"/>
      <w:pStyle w:val="Titre3"/>
      <w:suff w:val="space"/>
      <w:lvlText w:val="%1.%2.%3 "/>
      <w:lvlJc w:val="left"/>
      <w:pPr>
        <w:ind w:left="0" w:firstLine="283"/>
      </w:pPr>
    </w:lvl>
    <w:lvl w:ilvl="3">
      <w:start w:val="1"/>
      <w:numFmt w:val="decimal"/>
      <w:pStyle w:val="Titre4"/>
      <w:suff w:val="space"/>
      <w:lvlText w:val="%1.%2.%3.%4 "/>
      <w:lvlJc w:val="left"/>
      <w:pPr>
        <w:ind w:left="0" w:firstLine="283"/>
      </w:pPr>
    </w:lvl>
    <w:lvl w:ilvl="4">
      <w:start w:val="1"/>
      <w:numFmt w:val="decimal"/>
      <w:pStyle w:val="Titre5"/>
      <w:suff w:val="space"/>
      <w:lvlText w:val="%1.%2.%3.%4.%5 "/>
      <w:lvlJc w:val="left"/>
      <w:pPr>
        <w:ind w:left="0" w:firstLine="283"/>
      </w:pPr>
    </w:lvl>
    <w:lvl w:ilvl="5">
      <w:start w:val="1"/>
      <w:numFmt w:val="decimal"/>
      <w:pStyle w:val="Titre6"/>
      <w:suff w:val="space"/>
      <w:lvlText w:val="%1.%2.%3.%4.%5.%6 "/>
      <w:lvlJc w:val="left"/>
      <w:pPr>
        <w:ind w:left="1152" w:hanging="1152"/>
      </w:pPr>
    </w:lvl>
    <w:lvl w:ilvl="6">
      <w:start w:val="1"/>
      <w:numFmt w:val="decimal"/>
      <w:pStyle w:val="Titre7"/>
      <w:suff w:val="space"/>
      <w:lvlText w:val="%1.%2.%3.%4.%5.%6.%7"/>
      <w:lvlJc w:val="left"/>
      <w:pPr>
        <w:ind w:left="1296" w:hanging="1296"/>
      </w:pPr>
    </w:lvl>
    <w:lvl w:ilvl="7">
      <w:start w:val="1"/>
      <w:numFmt w:val="decimal"/>
      <w:pStyle w:val="Titre8"/>
      <w:suff w:val="space"/>
      <w:lvlText w:val="%1.%2.%3.%4.%5.%6.%7.%8"/>
      <w:lvlJc w:val="left"/>
      <w:pPr>
        <w:ind w:left="1440" w:hanging="1440"/>
      </w:pPr>
    </w:lvl>
    <w:lvl w:ilvl="8">
      <w:start w:val="1"/>
      <w:numFmt w:val="decimal"/>
      <w:pStyle w:val="Titre9"/>
      <w:suff w:val="space"/>
      <w:lvlText w:val="%1.%2.%3.%4.%5.%6.%7.%8.%9"/>
      <w:lvlJc w:val="left"/>
      <w:pPr>
        <w:ind w:left="1584" w:hanging="1584"/>
      </w:pPr>
    </w:lvl>
  </w:abstractNum>
  <w:abstractNum w:abstractNumId="20" w15:restartNumberingAfterBreak="0">
    <w:nsid w:val="73C76F0D"/>
    <w:multiLevelType w:val="hybridMultilevel"/>
    <w:tmpl w:val="4740DB3A"/>
    <w:lvl w:ilvl="0" w:tplc="040C0001">
      <w:start w:val="1"/>
      <w:numFmt w:val="bullet"/>
      <w:lvlText w:val=""/>
      <w:lvlJc w:val="left"/>
      <w:pPr>
        <w:ind w:left="720" w:hanging="360"/>
      </w:pPr>
      <w:rPr>
        <w:rFonts w:ascii="Symbol" w:hAnsi="Symbol" w:hint="default"/>
      </w:rPr>
    </w:lvl>
    <w:lvl w:ilvl="1" w:tplc="074641CA">
      <w:numFmt w:val="bullet"/>
      <w:lvlText w:val="•"/>
      <w:lvlJc w:val="left"/>
      <w:pPr>
        <w:ind w:left="1785" w:hanging="705"/>
      </w:pPr>
      <w:rPr>
        <w:rFonts w:ascii="Times New Roman" w:eastAsiaTheme="minorHAnsi"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0641E6"/>
    <w:multiLevelType w:val="hybridMultilevel"/>
    <w:tmpl w:val="A490AF24"/>
    <w:lvl w:ilvl="0" w:tplc="948C3B52">
      <w:numFmt w:val="bullet"/>
      <w:lvlText w:val="-"/>
      <w:lvlJc w:val="left"/>
      <w:pPr>
        <w:ind w:left="1065" w:hanging="705"/>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1F2F88"/>
    <w:multiLevelType w:val="hybridMultilevel"/>
    <w:tmpl w:val="2D602B14"/>
    <w:lvl w:ilvl="0" w:tplc="F9FAA3D2">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21"/>
  </w:num>
  <w:num w:numId="4">
    <w:abstractNumId w:val="20"/>
  </w:num>
  <w:num w:numId="5">
    <w:abstractNumId w:val="4"/>
  </w:num>
  <w:num w:numId="6">
    <w:abstractNumId w:val="15"/>
  </w:num>
  <w:num w:numId="7">
    <w:abstractNumId w:val="16"/>
  </w:num>
  <w:num w:numId="8">
    <w:abstractNumId w:val="8"/>
  </w:num>
  <w:num w:numId="9">
    <w:abstractNumId w:val="1"/>
  </w:num>
  <w:num w:numId="10">
    <w:abstractNumId w:val="0"/>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18"/>
  </w:num>
  <w:num w:numId="16">
    <w:abstractNumId w:val="22"/>
  </w:num>
  <w:num w:numId="17">
    <w:abstractNumId w:val="5"/>
  </w:num>
  <w:num w:numId="18">
    <w:abstractNumId w:val="13"/>
  </w:num>
  <w:num w:numId="19">
    <w:abstractNumId w:val="12"/>
  </w:num>
  <w:num w:numId="20">
    <w:abstractNumId w:val="7"/>
  </w:num>
  <w:num w:numId="21">
    <w:abstractNumId w:val="6"/>
  </w:num>
  <w:num w:numId="22">
    <w:abstractNumId w:val="1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FD5BE0-CB04-4EB1-9C75-3A41A34C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Marianne" w:hAnsi="Marianne" w:cs="Times New Roman"/>
      <w:sz w:val="20"/>
    </w:rPr>
  </w:style>
  <w:style w:type="paragraph" w:styleId="Titre1">
    <w:name w:val="heading 1"/>
    <w:basedOn w:val="Normal"/>
    <w:next w:val="Normal"/>
    <w:link w:val="Titre1Car"/>
    <w:qFormat/>
    <w:pPr>
      <w:keepNext/>
      <w:keepLines/>
      <w:widowControl w:val="0"/>
      <w:numPr>
        <w:numId w:val="1"/>
      </w:numPr>
      <w:pBdr>
        <w:top w:val="single" w:sz="8" w:space="1" w:color="CCCCCC"/>
        <w:left w:val="single" w:sz="8" w:space="1" w:color="CCCCCC"/>
        <w:bottom w:val="single" w:sz="8" w:space="1" w:color="CCCCCC"/>
        <w:right w:val="single" w:sz="8" w:space="1" w:color="CCCCCC"/>
      </w:pBdr>
      <w:shd w:val="clear" w:color="auto" w:fill="CCCCCC"/>
      <w:suppressAutoHyphens/>
      <w:spacing w:before="240" w:line="240" w:lineRule="atLeast"/>
      <w:jc w:val="left"/>
      <w:textAlignment w:val="center"/>
      <w:outlineLvl w:val="0"/>
    </w:pPr>
    <w:rPr>
      <w:rFonts w:eastAsia="MS PMincho"/>
      <w:b/>
      <w:bCs/>
      <w:caps/>
      <w:kern w:val="22"/>
      <w:szCs w:val="48"/>
      <w:lang w:eastAsia="ja-JP"/>
    </w:rPr>
  </w:style>
  <w:style w:type="paragraph" w:styleId="Titre2">
    <w:name w:val="heading 2"/>
    <w:basedOn w:val="Normal"/>
    <w:next w:val="Corpsdetexte"/>
    <w:link w:val="Titre2Car"/>
    <w:qFormat/>
    <w:pPr>
      <w:keepNext/>
      <w:keepLines/>
      <w:widowControl w:val="0"/>
      <w:numPr>
        <w:ilvl w:val="1"/>
        <w:numId w:val="1"/>
      </w:numPr>
      <w:pBdr>
        <w:top w:val="none" w:sz="0" w:space="0" w:color="000000"/>
        <w:left w:val="single" w:sz="8" w:space="0" w:color="CCCCCC"/>
        <w:bottom w:val="single" w:sz="8" w:space="0" w:color="CCCCCC"/>
        <w:right w:val="none" w:sz="0" w:space="0" w:color="000000"/>
      </w:pBdr>
      <w:suppressAutoHyphens/>
      <w:spacing w:before="240" w:line="240" w:lineRule="atLeast"/>
      <w:textAlignment w:val="center"/>
      <w:outlineLvl w:val="1"/>
    </w:pPr>
    <w:rPr>
      <w:rFonts w:eastAsia="MS PMincho"/>
      <w:b/>
      <w:bCs/>
      <w:kern w:val="22"/>
      <w:lang w:eastAsia="ja-JP"/>
    </w:rPr>
  </w:style>
  <w:style w:type="paragraph" w:styleId="Titre3">
    <w:name w:val="heading 3"/>
    <w:basedOn w:val="Normal"/>
    <w:next w:val="Normal"/>
    <w:link w:val="Titre3Car"/>
    <w:unhideWhenUsed/>
    <w:qFormat/>
    <w:pPr>
      <w:keepNext/>
      <w:keepLines/>
      <w:numPr>
        <w:ilvl w:val="2"/>
        <w:numId w:val="1"/>
      </w:numPr>
      <w:spacing w:before="240"/>
      <w:outlineLvl w:val="2"/>
    </w:pPr>
    <w:rPr>
      <w:rFonts w:eastAsiaTheme="majorEastAsia" w:cstheme="majorBidi"/>
      <w:i/>
      <w:szCs w:val="24"/>
      <w:u w:val="single"/>
    </w:rPr>
  </w:style>
  <w:style w:type="paragraph" w:styleId="Titre4">
    <w:name w:val="heading 4"/>
    <w:basedOn w:val="Normal"/>
    <w:next w:val="Corpsdetexte"/>
    <w:link w:val="Titre4Car"/>
    <w:autoRedefine/>
    <w:qFormat/>
    <w:pPr>
      <w:keepNext/>
      <w:keepLines/>
      <w:widowControl w:val="0"/>
      <w:numPr>
        <w:ilvl w:val="3"/>
        <w:numId w:val="1"/>
      </w:numPr>
      <w:spacing w:before="283" w:after="57"/>
      <w:textAlignment w:val="center"/>
      <w:outlineLvl w:val="3"/>
    </w:pPr>
    <w:rPr>
      <w:rFonts w:eastAsia="Andale Sans UI" w:cs="Tahoma"/>
      <w:bCs/>
      <w:iCs/>
      <w:kern w:val="2"/>
      <w:szCs w:val="20"/>
      <w:u w:val="single"/>
      <w:lang w:eastAsia="ja-JP" w:bidi="fa-IR"/>
    </w:rPr>
  </w:style>
  <w:style w:type="paragraph" w:styleId="Titre5">
    <w:name w:val="heading 5"/>
    <w:basedOn w:val="Normal"/>
    <w:next w:val="Normal"/>
    <w:link w:val="Titre5Car"/>
    <w:unhideWhenUsed/>
    <w:qFormat/>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Titre"/>
    <w:next w:val="Corpsdetexte"/>
    <w:link w:val="Titre6Car"/>
    <w:qFormat/>
    <w:pPr>
      <w:keepNext/>
      <w:widowControl w:val="0"/>
      <w:numPr>
        <w:ilvl w:val="5"/>
        <w:numId w:val="1"/>
      </w:numPr>
      <w:pBdr>
        <w:top w:val="single" w:sz="20" w:space="1" w:color="666666"/>
        <w:left w:val="single" w:sz="20" w:space="1" w:color="666666"/>
        <w:bottom w:val="single" w:sz="20" w:space="1" w:color="666666"/>
        <w:right w:val="single" w:sz="20" w:space="1" w:color="666666"/>
      </w:pBdr>
      <w:spacing w:before="283" w:after="283"/>
      <w:contextualSpacing w:val="0"/>
      <w:textAlignment w:val="center"/>
      <w:outlineLvl w:val="5"/>
    </w:pPr>
    <w:rPr>
      <w:rFonts w:ascii="Arial" w:eastAsia="Andale Sans UI" w:hAnsi="Arial" w:cs="Tahoma"/>
      <w:bCs/>
      <w:spacing w:val="0"/>
      <w:kern w:val="2"/>
      <w:sz w:val="22"/>
      <w:szCs w:val="21"/>
      <w:lang w:eastAsia="ja-JP" w:bidi="fa-IR"/>
    </w:rPr>
  </w:style>
  <w:style w:type="paragraph" w:styleId="Titre7">
    <w:name w:val="heading 7"/>
    <w:basedOn w:val="Titre"/>
    <w:next w:val="Corpsdetexte"/>
    <w:link w:val="Titre7Car"/>
    <w:qFormat/>
    <w:pPr>
      <w:keepNext/>
      <w:widowControl w:val="0"/>
      <w:numPr>
        <w:ilvl w:val="6"/>
        <w:numId w:val="1"/>
      </w:numPr>
      <w:pBdr>
        <w:top w:val="single" w:sz="20" w:space="1" w:color="666666"/>
        <w:left w:val="single" w:sz="20" w:space="1" w:color="666666"/>
        <w:bottom w:val="single" w:sz="20" w:space="1" w:color="666666"/>
        <w:right w:val="single" w:sz="20" w:space="1" w:color="666666"/>
      </w:pBdr>
      <w:spacing w:before="283" w:after="57"/>
      <w:contextualSpacing w:val="0"/>
      <w:textAlignment w:val="center"/>
      <w:outlineLvl w:val="6"/>
    </w:pPr>
    <w:rPr>
      <w:rFonts w:ascii="Arial" w:eastAsia="Andale Sans UI" w:hAnsi="Arial" w:cs="Tahoma"/>
      <w:bCs/>
      <w:spacing w:val="0"/>
      <w:kern w:val="2"/>
      <w:sz w:val="22"/>
      <w:szCs w:val="21"/>
      <w:lang w:eastAsia="ja-JP" w:bidi="fa-IR"/>
    </w:rPr>
  </w:style>
  <w:style w:type="paragraph" w:styleId="Titre8">
    <w:name w:val="heading 8"/>
    <w:basedOn w:val="Titre"/>
    <w:next w:val="Corpsdetexte"/>
    <w:link w:val="Titre8Car"/>
    <w:qFormat/>
    <w:pPr>
      <w:keepNext/>
      <w:widowControl w:val="0"/>
      <w:numPr>
        <w:ilvl w:val="7"/>
        <w:numId w:val="1"/>
      </w:numPr>
      <w:pBdr>
        <w:top w:val="single" w:sz="20" w:space="1" w:color="666666"/>
        <w:left w:val="single" w:sz="20" w:space="1" w:color="666666"/>
        <w:bottom w:val="single" w:sz="20" w:space="1" w:color="666666"/>
        <w:right w:val="single" w:sz="20" w:space="1" w:color="666666"/>
      </w:pBdr>
      <w:spacing w:before="283" w:after="57"/>
      <w:contextualSpacing w:val="0"/>
      <w:textAlignment w:val="center"/>
      <w:outlineLvl w:val="7"/>
    </w:pPr>
    <w:rPr>
      <w:rFonts w:ascii="Arial" w:eastAsia="Andale Sans UI" w:hAnsi="Arial" w:cs="Tahoma"/>
      <w:bCs/>
      <w:spacing w:val="0"/>
      <w:kern w:val="2"/>
      <w:sz w:val="21"/>
      <w:szCs w:val="21"/>
      <w:lang w:eastAsia="ja-JP" w:bidi="fa-IR"/>
    </w:rPr>
  </w:style>
  <w:style w:type="paragraph" w:styleId="Titre9">
    <w:name w:val="heading 9"/>
    <w:basedOn w:val="Titre"/>
    <w:next w:val="Corpsdetexte"/>
    <w:link w:val="Titre9Car"/>
    <w:qFormat/>
    <w:pPr>
      <w:keepNext/>
      <w:widowControl w:val="0"/>
      <w:numPr>
        <w:ilvl w:val="8"/>
        <w:numId w:val="1"/>
      </w:numPr>
      <w:pBdr>
        <w:top w:val="single" w:sz="20" w:space="1" w:color="666666"/>
        <w:left w:val="single" w:sz="20" w:space="1" w:color="666666"/>
        <w:bottom w:val="single" w:sz="20" w:space="1" w:color="666666"/>
        <w:right w:val="single" w:sz="20" w:space="1" w:color="666666"/>
      </w:pBdr>
      <w:spacing w:before="283" w:after="57"/>
      <w:contextualSpacing w:val="0"/>
      <w:textAlignment w:val="center"/>
      <w:outlineLvl w:val="8"/>
    </w:pPr>
    <w:rPr>
      <w:rFonts w:ascii="Arial" w:eastAsia="Andale Sans UI" w:hAnsi="Arial" w:cs="Tahoma"/>
      <w:bCs/>
      <w:spacing w:val="0"/>
      <w:kern w:val="2"/>
      <w:sz w:val="21"/>
      <w:szCs w:val="21"/>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qFormat/>
    <w:rPr>
      <w:rFonts w:ascii="Times New Roman" w:hAnsi="Times New Roman"/>
      <w:b/>
      <w:bCs/>
    </w:rPr>
  </w:style>
  <w:style w:type="character" w:styleId="Accentuation">
    <w:name w:val="Emphasis"/>
    <w:basedOn w:val="Policepardfaut"/>
    <w:uiPriority w:val="20"/>
    <w:qFormat/>
    <w:rPr>
      <w:rFonts w:ascii="Times New Roman" w:hAnsi="Times New Roman"/>
      <w:i/>
      <w:iC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Cs w:val="20"/>
    </w:rPr>
  </w:style>
  <w:style w:type="character" w:customStyle="1" w:styleId="CommentaireCar">
    <w:name w:val="Commentaire Car"/>
    <w:basedOn w:val="Policepardfaut"/>
    <w:link w:val="Commentaire"/>
    <w:uiPriority w:val="99"/>
    <w:rPr>
      <w:rFonts w:ascii="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hAnsi="Calibri" w:cs="Times New Roman"/>
      <w:b/>
      <w:bCs/>
      <w:sz w:val="20"/>
      <w:szCs w:val="20"/>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Bullet Niv 1,Listes,Resume Title,Citation List,Ha,List Paragraph1,Body,List Paragraph_Table bullets,Bullet List Paragraph,1st level - Bullet List Paragraph,Lettre d'introduction,Paragrafo elenco,Medium Grid 1 - Accent 21,AFW Body"/>
    <w:basedOn w:val="Normal"/>
    <w:link w:val="ParagraphedelisteCar"/>
    <w:uiPriority w:val="34"/>
    <w:qFormat/>
    <w:pPr>
      <w:ind w:left="720"/>
      <w:contextualSpacing/>
    </w:pPr>
  </w:style>
  <w:style w:type="paragraph" w:styleId="Rvision">
    <w:name w:val="Revision"/>
    <w:hidden/>
    <w:uiPriority w:val="99"/>
    <w:semiHidden/>
    <w:pPr>
      <w:spacing w:after="0" w:line="240" w:lineRule="auto"/>
    </w:pPr>
    <w:rPr>
      <w:rFonts w:ascii="Calibri" w:hAnsi="Calibri" w:cs="Times New Roman"/>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Pr>
      <w:rFonts w:ascii="Marianne" w:eastAsia="MS PMincho" w:hAnsi="Marianne" w:cs="Times New Roman"/>
      <w:b/>
      <w:bCs/>
      <w:caps/>
      <w:kern w:val="22"/>
      <w:sz w:val="20"/>
      <w:szCs w:val="48"/>
      <w:shd w:val="clear" w:color="auto" w:fill="CCCCCC"/>
      <w:lang w:eastAsia="ja-JP"/>
    </w:rPr>
  </w:style>
  <w:style w:type="character" w:customStyle="1" w:styleId="Titre2Car">
    <w:name w:val="Titre 2 Car"/>
    <w:basedOn w:val="Policepardfaut"/>
    <w:link w:val="Titre2"/>
    <w:rPr>
      <w:rFonts w:ascii="Marianne" w:eastAsia="MS PMincho" w:hAnsi="Marianne" w:cs="Times New Roman"/>
      <w:b/>
      <w:bCs/>
      <w:kern w:val="22"/>
      <w:sz w:val="20"/>
      <w:lang w:eastAsia="ja-JP"/>
    </w:rPr>
  </w:style>
  <w:style w:type="paragraph" w:styleId="Corpsdetexte">
    <w:name w:val="Body Text"/>
    <w:basedOn w:val="Normal"/>
    <w:link w:val="CorpsdetexteCar"/>
    <w:uiPriority w:val="99"/>
    <w:unhideWhenUsed/>
  </w:style>
  <w:style w:type="character" w:customStyle="1" w:styleId="CorpsdetexteCar">
    <w:name w:val="Corps de texte Car"/>
    <w:basedOn w:val="Policepardfaut"/>
    <w:link w:val="Corpsdetexte"/>
    <w:uiPriority w:val="99"/>
    <w:qFormat/>
    <w:rPr>
      <w:rFonts w:ascii="Times New Roman" w:hAnsi="Times New Roman" w:cs="Times New Roman"/>
    </w:rPr>
  </w:style>
  <w:style w:type="paragraph" w:styleId="TM1">
    <w:name w:val="toc 1"/>
    <w:basedOn w:val="Normal"/>
    <w:next w:val="Normal"/>
    <w:autoRedefine/>
    <w:uiPriority w:val="39"/>
    <w:unhideWhenUsed/>
    <w:pPr>
      <w:jc w:val="left"/>
    </w:pPr>
    <w:rPr>
      <w:rFonts w:asciiTheme="minorHAnsi" w:hAnsiTheme="minorHAnsi" w:cstheme="minorHAnsi"/>
      <w:b/>
      <w:bCs/>
      <w:caps/>
      <w:szCs w:val="20"/>
    </w:rPr>
  </w:style>
  <w:style w:type="paragraph" w:styleId="TM2">
    <w:name w:val="toc 2"/>
    <w:basedOn w:val="Normal"/>
    <w:next w:val="Normal"/>
    <w:autoRedefine/>
    <w:uiPriority w:val="39"/>
    <w:unhideWhenUsed/>
    <w:pPr>
      <w:ind w:left="220"/>
      <w:jc w:val="left"/>
    </w:pPr>
    <w:rPr>
      <w:rFonts w:asciiTheme="minorHAnsi" w:hAnsiTheme="minorHAnsi" w:cstheme="minorHAnsi"/>
      <w:smallCaps/>
      <w:szCs w:val="20"/>
    </w:rPr>
  </w:style>
  <w:style w:type="paragraph" w:styleId="TM3">
    <w:name w:val="toc 3"/>
    <w:basedOn w:val="Normal"/>
    <w:next w:val="Normal"/>
    <w:autoRedefine/>
    <w:uiPriority w:val="39"/>
    <w:unhideWhenUsed/>
    <w:pPr>
      <w:ind w:left="440"/>
      <w:jc w:val="left"/>
    </w:pPr>
    <w:rPr>
      <w:rFonts w:asciiTheme="minorHAnsi" w:hAnsiTheme="minorHAnsi" w:cstheme="minorHAnsi"/>
      <w:i/>
      <w:iCs/>
      <w:szCs w:val="20"/>
    </w:rPr>
  </w:style>
  <w:style w:type="paragraph" w:styleId="TM4">
    <w:name w:val="toc 4"/>
    <w:basedOn w:val="Normal"/>
    <w:next w:val="Normal"/>
    <w:autoRedefine/>
    <w:uiPriority w:val="39"/>
    <w:unhideWhenUsed/>
    <w:pPr>
      <w:ind w:left="660"/>
      <w:jc w:val="left"/>
    </w:pPr>
    <w:rPr>
      <w:rFonts w:asciiTheme="minorHAnsi" w:hAnsiTheme="minorHAnsi" w:cstheme="minorHAnsi"/>
      <w:sz w:val="18"/>
      <w:szCs w:val="18"/>
    </w:rPr>
  </w:style>
  <w:style w:type="paragraph" w:styleId="TM5">
    <w:name w:val="toc 5"/>
    <w:basedOn w:val="Normal"/>
    <w:next w:val="Normal"/>
    <w:autoRedefine/>
    <w:uiPriority w:val="39"/>
    <w:unhideWhenUsed/>
    <w:pPr>
      <w:ind w:left="880"/>
      <w:jc w:val="left"/>
    </w:pPr>
    <w:rPr>
      <w:rFonts w:asciiTheme="minorHAnsi" w:hAnsiTheme="minorHAnsi" w:cstheme="minorHAnsi"/>
      <w:sz w:val="18"/>
      <w:szCs w:val="18"/>
    </w:rPr>
  </w:style>
  <w:style w:type="paragraph" w:styleId="TM6">
    <w:name w:val="toc 6"/>
    <w:basedOn w:val="Normal"/>
    <w:next w:val="Normal"/>
    <w:autoRedefine/>
    <w:uiPriority w:val="39"/>
    <w:unhideWhenUsed/>
    <w:pPr>
      <w:ind w:left="1100"/>
      <w:jc w:val="left"/>
    </w:pPr>
    <w:rPr>
      <w:rFonts w:asciiTheme="minorHAnsi" w:hAnsiTheme="minorHAnsi" w:cstheme="minorHAnsi"/>
      <w:sz w:val="18"/>
      <w:szCs w:val="18"/>
    </w:rPr>
  </w:style>
  <w:style w:type="paragraph" w:styleId="TM7">
    <w:name w:val="toc 7"/>
    <w:basedOn w:val="Normal"/>
    <w:next w:val="Normal"/>
    <w:autoRedefine/>
    <w:uiPriority w:val="39"/>
    <w:unhideWhenUsed/>
    <w:pPr>
      <w:ind w:left="1320"/>
      <w:jc w:val="left"/>
    </w:pPr>
    <w:rPr>
      <w:rFonts w:asciiTheme="minorHAnsi" w:hAnsiTheme="minorHAnsi" w:cstheme="minorHAnsi"/>
      <w:sz w:val="18"/>
      <w:szCs w:val="18"/>
    </w:rPr>
  </w:style>
  <w:style w:type="paragraph" w:styleId="TM8">
    <w:name w:val="toc 8"/>
    <w:basedOn w:val="Normal"/>
    <w:next w:val="Normal"/>
    <w:autoRedefine/>
    <w:uiPriority w:val="39"/>
    <w:unhideWhenUsed/>
    <w:pPr>
      <w:ind w:left="1540"/>
      <w:jc w:val="left"/>
    </w:pPr>
    <w:rPr>
      <w:rFonts w:asciiTheme="minorHAnsi" w:hAnsiTheme="minorHAnsi" w:cstheme="minorHAnsi"/>
      <w:sz w:val="18"/>
      <w:szCs w:val="18"/>
    </w:rPr>
  </w:style>
  <w:style w:type="paragraph" w:styleId="TM9">
    <w:name w:val="toc 9"/>
    <w:basedOn w:val="Normal"/>
    <w:next w:val="Normal"/>
    <w:autoRedefine/>
    <w:uiPriority w:val="39"/>
    <w:unhideWhenUsed/>
    <w:pPr>
      <w:ind w:left="1760"/>
      <w:jc w:val="left"/>
    </w:pPr>
    <w:rPr>
      <w:rFonts w:asciiTheme="minorHAnsi" w:hAnsiTheme="minorHAnsi" w:cstheme="minorHAnsi"/>
      <w:sz w:val="18"/>
      <w:szCs w:val="18"/>
    </w:rPr>
  </w:style>
  <w:style w:type="character" w:styleId="Lienhypertexte">
    <w:name w:val="Hyperlink"/>
    <w:basedOn w:val="Policepardfaut"/>
    <w:uiPriority w:val="99"/>
    <w:unhideWhenUsed/>
    <w:rPr>
      <w:color w:val="0000FF" w:themeColor="hyperlink"/>
      <w:u w:val="single"/>
    </w:rPr>
  </w:style>
  <w:style w:type="paragraph" w:styleId="TitreTR">
    <w:name w:val="toa heading"/>
    <w:basedOn w:val="Titre"/>
    <w:pPr>
      <w:keepNext/>
      <w:pageBreakBefore/>
      <w:widowControl w:val="0"/>
      <w:suppressLineNumbers/>
      <w:pBdr>
        <w:top w:val="single" w:sz="20" w:space="1" w:color="666666"/>
        <w:left w:val="single" w:sz="20" w:space="1" w:color="666666"/>
        <w:bottom w:val="single" w:sz="20" w:space="1" w:color="666666"/>
        <w:right w:val="single" w:sz="20" w:space="1" w:color="666666"/>
      </w:pBdr>
      <w:suppressAutoHyphens/>
      <w:spacing w:after="283" w:line="240" w:lineRule="atLeast"/>
      <w:contextualSpacing w:val="0"/>
      <w:jc w:val="center"/>
      <w:textAlignment w:val="center"/>
    </w:pPr>
    <w:rPr>
      <w:rFonts w:ascii="Arial" w:eastAsia="Andale Sans UI" w:hAnsi="Arial" w:cs="Tahoma"/>
      <w:b/>
      <w:bCs/>
      <w:spacing w:val="0"/>
      <w:kern w:val="2"/>
      <w:sz w:val="32"/>
      <w:szCs w:val="32"/>
      <w:lang w:eastAsia="ja-JP" w:bidi="fa-IR"/>
    </w:rPr>
  </w:style>
  <w:style w:type="paragraph" w:styleId="Titre">
    <w:name w:val="Title"/>
    <w:basedOn w:val="Normal"/>
    <w:next w:val="Normal"/>
    <w:link w:val="TitreCar"/>
    <w:uiPriority w:val="10"/>
    <w:qFormat/>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hAnsi="Times New Roman"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hAnsi="Times New Roman" w:cs="Times New Roman"/>
    </w:rPr>
  </w:style>
  <w:style w:type="character" w:customStyle="1" w:styleId="Titre5Car">
    <w:name w:val="Titre 5 Car"/>
    <w:basedOn w:val="Policepardfaut"/>
    <w:link w:val="Titre5"/>
    <w:rPr>
      <w:rFonts w:asciiTheme="majorHAnsi" w:eastAsiaTheme="majorEastAsia" w:hAnsiTheme="majorHAnsi" w:cstheme="majorBidi"/>
      <w:color w:val="365F91" w:themeColor="accent1" w:themeShade="BF"/>
      <w:sz w:val="20"/>
    </w:rPr>
  </w:style>
  <w:style w:type="character" w:customStyle="1" w:styleId="Titre3Car">
    <w:name w:val="Titre 3 Car"/>
    <w:basedOn w:val="Policepardfaut"/>
    <w:link w:val="Titre3"/>
    <w:rPr>
      <w:rFonts w:ascii="Marianne" w:eastAsiaTheme="majorEastAsia" w:hAnsi="Marianne" w:cstheme="majorBidi"/>
      <w:i/>
      <w:sz w:val="20"/>
      <w:szCs w:val="24"/>
      <w:u w:val="single"/>
    </w:rPr>
  </w:style>
  <w:style w:type="paragraph" w:customStyle="1" w:styleId="Tableau">
    <w:name w:val="Tableau"/>
    <w:basedOn w:val="Lgende"/>
    <w:qFormat/>
    <w:pPr>
      <w:widowControl w:val="0"/>
      <w:suppressLineNumbers/>
      <w:spacing w:after="120"/>
      <w:textAlignment w:val="center"/>
    </w:pPr>
    <w:rPr>
      <w:rFonts w:ascii="Arial" w:eastAsia="Andale Sans UI" w:hAnsi="Arial" w:cs="Tahoma"/>
      <w:i w:val="0"/>
      <w:color w:val="auto"/>
      <w:kern w:val="2"/>
      <w:sz w:val="17"/>
      <w:szCs w:val="24"/>
      <w:lang w:eastAsia="ja-JP" w:bidi="fa-IR"/>
    </w:rPr>
  </w:style>
  <w:style w:type="paragraph" w:styleId="Lgende">
    <w:name w:val="caption"/>
    <w:basedOn w:val="Normal"/>
    <w:next w:val="Normal"/>
    <w:uiPriority w:val="35"/>
    <w:semiHidden/>
    <w:unhideWhenUsed/>
    <w:qFormat/>
    <w:pPr>
      <w:spacing w:after="200"/>
    </w:pPr>
    <w:rPr>
      <w:i/>
      <w:iCs/>
      <w:color w:val="1F497D" w:themeColor="text2"/>
      <w:sz w:val="18"/>
      <w:szCs w:val="18"/>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ent-bloc">
    <w:name w:val="content-bloc"/>
    <w:basedOn w:val="Policepardfaut"/>
  </w:style>
  <w:style w:type="character" w:customStyle="1" w:styleId="Titre4Car">
    <w:name w:val="Titre 4 Car"/>
    <w:basedOn w:val="Policepardfaut"/>
    <w:link w:val="Titre4"/>
    <w:rPr>
      <w:rFonts w:ascii="Marianne" w:eastAsia="Andale Sans UI" w:hAnsi="Marianne" w:cs="Tahoma"/>
      <w:bCs/>
      <w:iCs/>
      <w:kern w:val="2"/>
      <w:sz w:val="20"/>
      <w:szCs w:val="20"/>
      <w:u w:val="single"/>
      <w:lang w:eastAsia="ja-JP" w:bidi="fa-IR"/>
    </w:rPr>
  </w:style>
  <w:style w:type="character" w:customStyle="1" w:styleId="Titre6Car">
    <w:name w:val="Titre 6 Car"/>
    <w:basedOn w:val="Policepardfaut"/>
    <w:link w:val="Titre6"/>
    <w:rPr>
      <w:rFonts w:ascii="Arial" w:eastAsia="Andale Sans UI" w:hAnsi="Arial" w:cs="Tahoma"/>
      <w:bCs/>
      <w:kern w:val="2"/>
      <w:szCs w:val="21"/>
      <w:lang w:eastAsia="ja-JP" w:bidi="fa-IR"/>
    </w:rPr>
  </w:style>
  <w:style w:type="character" w:customStyle="1" w:styleId="Titre7Car">
    <w:name w:val="Titre 7 Car"/>
    <w:basedOn w:val="Policepardfaut"/>
    <w:link w:val="Titre7"/>
    <w:rPr>
      <w:rFonts w:ascii="Arial" w:eastAsia="Andale Sans UI" w:hAnsi="Arial" w:cs="Tahoma"/>
      <w:bCs/>
      <w:kern w:val="2"/>
      <w:szCs w:val="21"/>
      <w:lang w:eastAsia="ja-JP" w:bidi="fa-IR"/>
    </w:rPr>
  </w:style>
  <w:style w:type="character" w:customStyle="1" w:styleId="Titre8Car">
    <w:name w:val="Titre 8 Car"/>
    <w:basedOn w:val="Policepardfaut"/>
    <w:link w:val="Titre8"/>
    <w:rPr>
      <w:rFonts w:ascii="Arial" w:eastAsia="Andale Sans UI" w:hAnsi="Arial" w:cs="Tahoma"/>
      <w:bCs/>
      <w:kern w:val="2"/>
      <w:sz w:val="21"/>
      <w:szCs w:val="21"/>
      <w:lang w:eastAsia="ja-JP" w:bidi="fa-IR"/>
    </w:rPr>
  </w:style>
  <w:style w:type="character" w:customStyle="1" w:styleId="Titre9Car">
    <w:name w:val="Titre 9 Car"/>
    <w:basedOn w:val="Policepardfaut"/>
    <w:link w:val="Titre9"/>
    <w:rPr>
      <w:rFonts w:ascii="Arial" w:eastAsia="Andale Sans UI" w:hAnsi="Arial" w:cs="Tahoma"/>
      <w:bCs/>
      <w:kern w:val="2"/>
      <w:sz w:val="21"/>
      <w:szCs w:val="21"/>
      <w:lang w:eastAsia="ja-JP" w:bidi="fa-IR"/>
    </w:rPr>
  </w:style>
  <w:style w:type="character" w:customStyle="1" w:styleId="ParagraphedelisteCar">
    <w:name w:val="Paragraphe de liste Car"/>
    <w:aliases w:val="Bullet Niv 1 Car,Listes Car,Resume Title Car,Citation List Car,Ha Car,List Paragraph1 Car,Body Car,List Paragraph_Table bullets Car,Bullet List Paragraph Car,1st level - Bullet List Paragraph Car,Lettre d'introduction Car"/>
    <w:basedOn w:val="Policepardfaut"/>
    <w:link w:val="Paragraphedeliste"/>
    <w:uiPriority w:val="34"/>
    <w:qFormat/>
    <w:locked/>
    <w:rPr>
      <w:rFonts w:ascii="Times New Roman" w:hAnsi="Times New Roman" w:cs="Times New Roman"/>
    </w:rPr>
  </w:style>
  <w:style w:type="paragraph" w:customStyle="1" w:styleId="Standard">
    <w:name w:val="Standard"/>
    <w:autoRedefine/>
    <w:pPr>
      <w:widowControl w:val="0"/>
      <w:suppressAutoHyphens/>
      <w:autoSpaceDN w:val="0"/>
      <w:spacing w:before="57" w:after="0" w:line="240" w:lineRule="auto"/>
      <w:jc w:val="center"/>
      <w:textAlignment w:val="center"/>
    </w:pPr>
    <w:rPr>
      <w:rFonts w:ascii="Arial" w:eastAsia="Arial" w:hAnsi="Arial" w:cs="Arial"/>
      <w:b/>
      <w:bCs/>
      <w:kern w:val="3"/>
      <w:sz w:val="20"/>
      <w:szCs w:val="24"/>
      <w:lang w:eastAsia="ja-JP" w:bidi="fa-IR"/>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Notedebasdepage">
    <w:name w:val="footnote text"/>
    <w:basedOn w:val="Normal"/>
    <w:link w:val="NotedebasdepageCar"/>
    <w:pPr>
      <w:tabs>
        <w:tab w:val="left" w:pos="284"/>
      </w:tabs>
      <w:spacing w:after="0"/>
      <w:ind w:left="284" w:hanging="284"/>
    </w:pPr>
    <w:rPr>
      <w:rFonts w:ascii="Calibri" w:eastAsia="Times New Roman" w:hAnsi="Calibri"/>
      <w:sz w:val="16"/>
      <w:szCs w:val="20"/>
      <w:lang w:eastAsia="fr-FR"/>
    </w:rPr>
  </w:style>
  <w:style w:type="character" w:customStyle="1" w:styleId="NotedebasdepageCar">
    <w:name w:val="Note de bas de page Car"/>
    <w:basedOn w:val="Policepardfaut"/>
    <w:link w:val="Notedebasdepage"/>
    <w:rPr>
      <w:rFonts w:ascii="Calibri" w:eastAsia="Times New Roman" w:hAnsi="Calibri" w:cs="Times New Roman"/>
      <w:sz w:val="16"/>
      <w:szCs w:val="20"/>
      <w:lang w:eastAsia="fr-FR"/>
    </w:rPr>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5243">
      <w:bodyDiv w:val="1"/>
      <w:marLeft w:val="0"/>
      <w:marRight w:val="0"/>
      <w:marTop w:val="0"/>
      <w:marBottom w:val="0"/>
      <w:divBdr>
        <w:top w:val="none" w:sz="0" w:space="0" w:color="auto"/>
        <w:left w:val="none" w:sz="0" w:space="0" w:color="auto"/>
        <w:bottom w:val="none" w:sz="0" w:space="0" w:color="auto"/>
        <w:right w:val="none" w:sz="0" w:space="0" w:color="auto"/>
      </w:divBdr>
    </w:div>
    <w:div w:id="82799956">
      <w:bodyDiv w:val="1"/>
      <w:marLeft w:val="0"/>
      <w:marRight w:val="0"/>
      <w:marTop w:val="0"/>
      <w:marBottom w:val="0"/>
      <w:divBdr>
        <w:top w:val="none" w:sz="0" w:space="0" w:color="auto"/>
        <w:left w:val="none" w:sz="0" w:space="0" w:color="auto"/>
        <w:bottom w:val="none" w:sz="0" w:space="0" w:color="auto"/>
        <w:right w:val="none" w:sz="0" w:space="0" w:color="auto"/>
      </w:divBdr>
    </w:div>
    <w:div w:id="514805642">
      <w:bodyDiv w:val="1"/>
      <w:marLeft w:val="0"/>
      <w:marRight w:val="0"/>
      <w:marTop w:val="0"/>
      <w:marBottom w:val="0"/>
      <w:divBdr>
        <w:top w:val="none" w:sz="0" w:space="0" w:color="auto"/>
        <w:left w:val="none" w:sz="0" w:space="0" w:color="auto"/>
        <w:bottom w:val="none" w:sz="0" w:space="0" w:color="auto"/>
        <w:right w:val="none" w:sz="0" w:space="0" w:color="auto"/>
      </w:divBdr>
    </w:div>
    <w:div w:id="601449455">
      <w:bodyDiv w:val="1"/>
      <w:marLeft w:val="0"/>
      <w:marRight w:val="0"/>
      <w:marTop w:val="0"/>
      <w:marBottom w:val="0"/>
      <w:divBdr>
        <w:top w:val="none" w:sz="0" w:space="0" w:color="auto"/>
        <w:left w:val="none" w:sz="0" w:space="0" w:color="auto"/>
        <w:bottom w:val="none" w:sz="0" w:space="0" w:color="auto"/>
        <w:right w:val="none" w:sz="0" w:space="0" w:color="auto"/>
      </w:divBdr>
    </w:div>
    <w:div w:id="712462387">
      <w:bodyDiv w:val="1"/>
      <w:marLeft w:val="0"/>
      <w:marRight w:val="0"/>
      <w:marTop w:val="0"/>
      <w:marBottom w:val="0"/>
      <w:divBdr>
        <w:top w:val="none" w:sz="0" w:space="0" w:color="auto"/>
        <w:left w:val="none" w:sz="0" w:space="0" w:color="auto"/>
        <w:bottom w:val="none" w:sz="0" w:space="0" w:color="auto"/>
        <w:right w:val="none" w:sz="0" w:space="0" w:color="auto"/>
      </w:divBdr>
    </w:div>
    <w:div w:id="713627163">
      <w:bodyDiv w:val="1"/>
      <w:marLeft w:val="0"/>
      <w:marRight w:val="0"/>
      <w:marTop w:val="0"/>
      <w:marBottom w:val="0"/>
      <w:divBdr>
        <w:top w:val="none" w:sz="0" w:space="0" w:color="auto"/>
        <w:left w:val="none" w:sz="0" w:space="0" w:color="auto"/>
        <w:bottom w:val="none" w:sz="0" w:space="0" w:color="auto"/>
        <w:right w:val="none" w:sz="0" w:space="0" w:color="auto"/>
      </w:divBdr>
    </w:div>
    <w:div w:id="918057746">
      <w:bodyDiv w:val="1"/>
      <w:marLeft w:val="0"/>
      <w:marRight w:val="0"/>
      <w:marTop w:val="0"/>
      <w:marBottom w:val="0"/>
      <w:divBdr>
        <w:top w:val="none" w:sz="0" w:space="0" w:color="auto"/>
        <w:left w:val="none" w:sz="0" w:space="0" w:color="auto"/>
        <w:bottom w:val="none" w:sz="0" w:space="0" w:color="auto"/>
        <w:right w:val="none" w:sz="0" w:space="0" w:color="auto"/>
      </w:divBdr>
    </w:div>
    <w:div w:id="995064671">
      <w:bodyDiv w:val="1"/>
      <w:marLeft w:val="0"/>
      <w:marRight w:val="0"/>
      <w:marTop w:val="0"/>
      <w:marBottom w:val="0"/>
      <w:divBdr>
        <w:top w:val="none" w:sz="0" w:space="0" w:color="auto"/>
        <w:left w:val="none" w:sz="0" w:space="0" w:color="auto"/>
        <w:bottom w:val="none" w:sz="0" w:space="0" w:color="auto"/>
        <w:right w:val="none" w:sz="0" w:space="0" w:color="auto"/>
      </w:divBdr>
    </w:div>
    <w:div w:id="1192694462">
      <w:bodyDiv w:val="1"/>
      <w:marLeft w:val="0"/>
      <w:marRight w:val="0"/>
      <w:marTop w:val="0"/>
      <w:marBottom w:val="0"/>
      <w:divBdr>
        <w:top w:val="none" w:sz="0" w:space="0" w:color="auto"/>
        <w:left w:val="none" w:sz="0" w:space="0" w:color="auto"/>
        <w:bottom w:val="none" w:sz="0" w:space="0" w:color="auto"/>
        <w:right w:val="none" w:sz="0" w:space="0" w:color="auto"/>
      </w:divBdr>
    </w:div>
    <w:div w:id="1505632173">
      <w:bodyDiv w:val="1"/>
      <w:marLeft w:val="0"/>
      <w:marRight w:val="0"/>
      <w:marTop w:val="0"/>
      <w:marBottom w:val="0"/>
      <w:divBdr>
        <w:top w:val="none" w:sz="0" w:space="0" w:color="auto"/>
        <w:left w:val="none" w:sz="0" w:space="0" w:color="auto"/>
        <w:bottom w:val="none" w:sz="0" w:space="0" w:color="auto"/>
        <w:right w:val="none" w:sz="0" w:space="0" w:color="auto"/>
      </w:divBdr>
    </w:div>
    <w:div w:id="1578784869">
      <w:bodyDiv w:val="1"/>
      <w:marLeft w:val="0"/>
      <w:marRight w:val="0"/>
      <w:marTop w:val="0"/>
      <w:marBottom w:val="0"/>
      <w:divBdr>
        <w:top w:val="none" w:sz="0" w:space="0" w:color="auto"/>
        <w:left w:val="none" w:sz="0" w:space="0" w:color="auto"/>
        <w:bottom w:val="none" w:sz="0" w:space="0" w:color="auto"/>
        <w:right w:val="none" w:sz="0" w:space="0" w:color="auto"/>
      </w:divBdr>
    </w:div>
    <w:div w:id="1705328873">
      <w:bodyDiv w:val="1"/>
      <w:marLeft w:val="0"/>
      <w:marRight w:val="0"/>
      <w:marTop w:val="0"/>
      <w:marBottom w:val="0"/>
      <w:divBdr>
        <w:top w:val="none" w:sz="0" w:space="0" w:color="auto"/>
        <w:left w:val="none" w:sz="0" w:space="0" w:color="auto"/>
        <w:bottom w:val="none" w:sz="0" w:space="0" w:color="auto"/>
        <w:right w:val="none" w:sz="0" w:space="0" w:color="auto"/>
      </w:divBdr>
    </w:div>
    <w:div w:id="1866750014">
      <w:bodyDiv w:val="1"/>
      <w:marLeft w:val="0"/>
      <w:marRight w:val="0"/>
      <w:marTop w:val="0"/>
      <w:marBottom w:val="0"/>
      <w:divBdr>
        <w:top w:val="none" w:sz="0" w:space="0" w:color="auto"/>
        <w:left w:val="none" w:sz="0" w:space="0" w:color="auto"/>
        <w:bottom w:val="none" w:sz="0" w:space="0" w:color="auto"/>
        <w:right w:val="none" w:sz="0" w:space="0" w:color="auto"/>
      </w:divBdr>
    </w:div>
    <w:div w:id="1993751856">
      <w:bodyDiv w:val="1"/>
      <w:marLeft w:val="0"/>
      <w:marRight w:val="0"/>
      <w:marTop w:val="0"/>
      <w:marBottom w:val="0"/>
      <w:divBdr>
        <w:top w:val="none" w:sz="0" w:space="0" w:color="auto"/>
        <w:left w:val="none" w:sz="0" w:space="0" w:color="auto"/>
        <w:bottom w:val="none" w:sz="0" w:space="0" w:color="auto"/>
        <w:right w:val="none" w:sz="0" w:space="0" w:color="auto"/>
      </w:divBdr>
    </w:div>
    <w:div w:id="2071728144">
      <w:bodyDiv w:val="1"/>
      <w:marLeft w:val="0"/>
      <w:marRight w:val="0"/>
      <w:marTop w:val="0"/>
      <w:marBottom w:val="0"/>
      <w:divBdr>
        <w:top w:val="none" w:sz="0" w:space="0" w:color="auto"/>
        <w:left w:val="none" w:sz="0" w:space="0" w:color="auto"/>
        <w:bottom w:val="none" w:sz="0" w:space="0" w:color="auto"/>
        <w:right w:val="none" w:sz="0" w:space="0" w:color="auto"/>
      </w:divBdr>
    </w:div>
    <w:div w:id="207743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rt.ss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si.gouv.fr/uploads/2014/11/pssie_anssi.pdf" TargetMode="External"/><Relationship Id="rId4" Type="http://schemas.openxmlformats.org/officeDocument/2006/relationships/settings" Target="settings.xml"/><Relationship Id="rId9" Type="http://schemas.openxmlformats.org/officeDocument/2006/relationships/hyperlink" Target="https://www.legifrance.gouv.fr/eli/arrete/2018/9/18/ECOP1825228A/jo/texte"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5FC61-D78C-478E-93B7-FA6C7A2A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15743</Words>
  <Characters>86592</Characters>
  <Application>Microsoft Office Word</Application>
  <DocSecurity>0</DocSecurity>
  <Lines>721</Lines>
  <Paragraphs>204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MINEFI</dc:creator>
  <cp:lastModifiedBy>PICHOT Ludivine</cp:lastModifiedBy>
  <cp:revision>1</cp:revision>
  <cp:lastPrinted>2020-01-06T15:21:00Z</cp:lastPrinted>
  <dcterms:created xsi:type="dcterms:W3CDTF">2026-01-13T16:26:00Z</dcterms:created>
  <dcterms:modified xsi:type="dcterms:W3CDTF">2026-01-13T16:26:00Z</dcterms:modified>
</cp:coreProperties>
</file>